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4B619B" w:rsidP="004F6085">
      <w:pPr>
        <w:shd w:val="clear" w:color="auto" w:fill="FFFFFF"/>
        <w:jc w:val="center"/>
        <w:rPr>
          <w:rFonts w:ascii="Arial" w:hAnsi="Arial" w:cs="Arial"/>
          <w:b/>
          <w:sz w:val="72"/>
          <w:szCs w:val="72"/>
        </w:rPr>
      </w:pPr>
      <w:r>
        <w:rPr>
          <w:noProof/>
        </w:rPr>
        <w:drawing>
          <wp:anchor distT="0" distB="0" distL="0" distR="0" simplePos="0" relativeHeight="251659776" behindDoc="0" locked="0" layoutInCell="1" allowOverlap="1">
            <wp:simplePos x="0" y="0"/>
            <wp:positionH relativeFrom="column">
              <wp:posOffset>1189990</wp:posOffset>
            </wp:positionH>
            <wp:positionV relativeFrom="paragraph">
              <wp:posOffset>117475</wp:posOffset>
            </wp:positionV>
            <wp:extent cx="3083560" cy="1261110"/>
            <wp:effectExtent l="19050" t="0" r="2540" b="0"/>
            <wp:wrapSquare wrapText="larges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3083560" cy="1261110"/>
                    </a:xfrm>
                    <a:prstGeom prst="rect">
                      <a:avLst/>
                    </a:prstGeom>
                    <a:solidFill>
                      <a:srgbClr val="FFFFFF"/>
                    </a:solidFill>
                    <a:ln w="0">
                      <a:noFill/>
                      <a:miter lim="800000"/>
                      <a:headEnd/>
                      <a:tailEnd/>
                    </a:ln>
                  </pic:spPr>
                </pic:pic>
              </a:graphicData>
            </a:graphic>
          </wp:anchor>
        </w:drawing>
      </w: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870A24" w:rsidRPr="007A690D" w:rsidRDefault="00870A24"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056652" w:rsidRPr="007A690D" w:rsidRDefault="00056652" w:rsidP="004F6085">
      <w:pPr>
        <w:shd w:val="clear" w:color="auto" w:fill="FFFFFF"/>
        <w:jc w:val="both"/>
        <w:rPr>
          <w:rFonts w:ascii="Arial" w:hAnsi="Arial" w:cs="Arial"/>
        </w:rPr>
      </w:pPr>
    </w:p>
    <w:p w:rsidR="00056652" w:rsidRPr="007A690D" w:rsidRDefault="00056652" w:rsidP="004F6085">
      <w:pPr>
        <w:shd w:val="clear" w:color="auto" w:fill="FFFFFF"/>
        <w:jc w:val="both"/>
        <w:rPr>
          <w:rFonts w:ascii="Arial" w:hAnsi="Arial" w:cs="Arial"/>
        </w:rPr>
      </w:pPr>
    </w:p>
    <w:p w:rsidR="004F6085" w:rsidRPr="007A690D" w:rsidRDefault="00A30067" w:rsidP="00056652">
      <w:pPr>
        <w:shd w:val="clear" w:color="auto" w:fill="FFFFFF"/>
        <w:jc w:val="center"/>
        <w:rPr>
          <w:rFonts w:ascii="Arial" w:hAnsi="Arial" w:cs="Arial"/>
        </w:rPr>
      </w:pPr>
      <w:r>
        <w:rPr>
          <w:rFonts w:ascii="Arial" w:hAnsi="Arial" w:cs="Arial"/>
          <w:b/>
          <w:noProof/>
          <w:sz w:val="72"/>
          <w:szCs w:val="72"/>
        </w:rPr>
        <mc:AlternateContent>
          <mc:Choice Requires="wps">
            <w:drawing>
              <wp:anchor distT="0" distB="0" distL="114300" distR="114300" simplePos="0" relativeHeight="251657728" behindDoc="0" locked="1" layoutInCell="1" allowOverlap="1">
                <wp:simplePos x="0" y="0"/>
                <wp:positionH relativeFrom="margin">
                  <wp:align>center</wp:align>
                </wp:positionH>
                <wp:positionV relativeFrom="page">
                  <wp:posOffset>7029450</wp:posOffset>
                </wp:positionV>
                <wp:extent cx="3200400" cy="495300"/>
                <wp:effectExtent l="6350" t="9525" r="12700" b="9525"/>
                <wp:wrapNone/>
                <wp:docPr id="1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495300"/>
                        </a:xfrm>
                        <a:prstGeom prst="rect">
                          <a:avLst/>
                        </a:prstGeom>
                        <a:extLst>
                          <a:ext uri="{AF507438-7753-43E0-B8FC-AC1667EBCBE1}">
                            <a14:hiddenEffects xmlns:a14="http://schemas.microsoft.com/office/drawing/2010/main">
                              <a:effectLst/>
                            </a14:hiddenEffects>
                          </a:ext>
                        </a:extLst>
                      </wps:spPr>
                      <wps:txbx>
                        <w:txbxContent>
                          <w:p w:rsidR="00A30067" w:rsidRDefault="00A30067" w:rsidP="00A30067">
                            <w:pPr>
                              <w:pStyle w:val="NormalWeb"/>
                              <w:spacing w:before="0" w:beforeAutospacing="0" w:after="0" w:afterAutospacing="0"/>
                              <w:jc w:val="center"/>
                            </w:pPr>
                            <w:r>
                              <w:rPr>
                                <w:rFonts w:ascii="Arial Black" w:hAnsi="Arial Black"/>
                                <w:color w:val="00B050"/>
                                <w:sz w:val="56"/>
                                <w:szCs w:val="56"/>
                                <w14:textOutline w14:w="9525" w14:cap="flat" w14:cmpd="sng" w14:algn="ctr">
                                  <w14:solidFill>
                                    <w14:srgbClr w14:val="00B050"/>
                                  </w14:solidFill>
                                  <w14:prstDash w14:val="solid"/>
                                  <w14:round/>
                                </w14:textOutline>
                              </w:rPr>
                              <w:t>DE 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26" type="#_x0000_t202" style="position:absolute;left:0;text-align:left;margin-left:0;margin-top:553.5pt;width:252pt;height:39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" filled="f" stroked="f">
                <o:lock v:ext="edit" shapetype="t"/>
                <v:textbox style="mso-fit-shape-to-text:t">
                  <w:txbxContent>
                    <w:p w:rsidR="00A30067" w:rsidRDefault="00A30067" w:rsidP="00A30067">
                      <w:pPr>
                        <w:pStyle w:val="NormalWeb"/>
                        <w:spacing w:before="0" w:beforeAutospacing="0" w:after="0" w:afterAutospacing="0"/>
                        <w:jc w:val="center"/>
                      </w:pPr>
                      <w:r>
                        <w:rPr>
                          <w:rFonts w:ascii="Arial Black" w:hAnsi="Arial Black"/>
                          <w:color w:val="00B050"/>
                          <w:sz w:val="56"/>
                          <w:szCs w:val="56"/>
                          <w14:textOutline w14:w="9525" w14:cap="flat" w14:cmpd="sng" w14:algn="ctr">
                            <w14:solidFill>
                              <w14:srgbClr w14:val="00B050"/>
                            </w14:solidFill>
                            <w14:prstDash w14:val="solid"/>
                            <w14:round/>
                          </w14:textOutline>
                        </w:rPr>
                        <w:t>DE 2015</w:t>
                      </w:r>
                    </w:p>
                  </w:txbxContent>
                </v:textbox>
                <w10:wrap anchorx="margin" anchory="page"/>
                <w10:anchorlock/>
              </v:shape>
            </w:pict>
          </mc:Fallback>
        </mc:AlternateContent>
      </w:r>
      <w:r>
        <w:rPr>
          <w:rFonts w:ascii="Arial" w:hAnsi="Arial" w:cs="Arial"/>
          <w:b/>
          <w:noProof/>
          <w:sz w:val="72"/>
          <w:szCs w:val="72"/>
        </w:rPr>
        <mc:AlternateContent>
          <mc:Choice Requires="wps">
            <w:drawing>
              <wp:anchor distT="0" distB="0" distL="114300" distR="114300" simplePos="0" relativeHeight="251656704" behindDoc="0" locked="1" layoutInCell="1" allowOverlap="1">
                <wp:simplePos x="0" y="0"/>
                <wp:positionH relativeFrom="margin">
                  <wp:align>center</wp:align>
                </wp:positionH>
                <wp:positionV relativeFrom="page">
                  <wp:posOffset>5683885</wp:posOffset>
                </wp:positionV>
                <wp:extent cx="3200400" cy="495300"/>
                <wp:effectExtent l="6350" t="11430" r="12700" b="7620"/>
                <wp:wrapNone/>
                <wp:docPr id="9"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495300"/>
                        </a:xfrm>
                        <a:prstGeom prst="rect">
                          <a:avLst/>
                        </a:prstGeom>
                        <a:extLst>
                          <a:ext uri="{AF507438-7753-43E0-B8FC-AC1667EBCBE1}">
                            <a14:hiddenEffects xmlns:a14="http://schemas.microsoft.com/office/drawing/2010/main">
                              <a:effectLst/>
                            </a14:hiddenEffects>
                          </a:ext>
                        </a:extLst>
                      </wps:spPr>
                      <wps:txbx>
                        <w:txbxContent>
                          <w:p w:rsidR="00A30067" w:rsidRDefault="00A30067" w:rsidP="00A30067">
                            <w:pPr>
                              <w:pStyle w:val="NormalWeb"/>
                              <w:spacing w:before="0" w:beforeAutospacing="0" w:after="0" w:afterAutospacing="0"/>
                              <w:jc w:val="center"/>
                            </w:pPr>
                            <w:r>
                              <w:rPr>
                                <w:rFonts w:ascii="Arial Black" w:hAnsi="Arial Black"/>
                                <w:color w:val="00B050"/>
                                <w:sz w:val="56"/>
                                <w:szCs w:val="56"/>
                                <w14:textOutline w14:w="9525" w14:cap="flat" w14:cmpd="sng" w14:algn="ctr">
                                  <w14:solidFill>
                                    <w14:srgbClr w14:val="00B050"/>
                                  </w14:solidFill>
                                  <w14:prstDash w14:val="solid"/>
                                  <w14:round/>
                                </w14:textOutline>
                              </w:rPr>
                              <w:t>INVESTIMENTOS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style="position:absolute;left:0;text-align:left;margin-left:0;margin-top:447.55pt;width:252pt;height:39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" filled="f" stroked="f">
                <o:lock v:ext="edit" shapetype="t"/>
                <v:textbox style="mso-fit-shape-to-text:t">
                  <w:txbxContent>
                    <w:p w:rsidR="00A30067" w:rsidRDefault="00A30067" w:rsidP="00A30067">
                      <w:pPr>
                        <w:pStyle w:val="NormalWeb"/>
                        <w:spacing w:before="0" w:beforeAutospacing="0" w:after="0" w:afterAutospacing="0"/>
                        <w:jc w:val="center"/>
                      </w:pPr>
                      <w:r>
                        <w:rPr>
                          <w:rFonts w:ascii="Arial Black" w:hAnsi="Arial Black"/>
                          <w:color w:val="00B050"/>
                          <w:sz w:val="56"/>
                          <w:szCs w:val="56"/>
                          <w14:textOutline w14:w="9525" w14:cap="flat" w14:cmpd="sng" w14:algn="ctr">
                            <w14:solidFill>
                              <w14:srgbClr w14:val="00B050"/>
                            </w14:solidFill>
                            <w14:prstDash w14:val="solid"/>
                            <w14:round/>
                          </w14:textOutline>
                        </w:rPr>
                        <w:t>INVESTIMENTOS</w:t>
                      </w:r>
                    </w:p>
                  </w:txbxContent>
                </v:textbox>
                <w10:wrap anchorx="margin" anchory="page"/>
                <w10:anchorlock/>
              </v:shape>
            </w:pict>
          </mc:Fallback>
        </mc:AlternateContent>
      </w:r>
      <w:r>
        <w:rPr>
          <w:rFonts w:ascii="Arial" w:hAnsi="Arial" w:cs="Arial"/>
          <w:b/>
          <w:noProof/>
          <w:sz w:val="72"/>
          <w:szCs w:val="72"/>
        </w:rPr>
        <mc:AlternateContent>
          <mc:Choice Requires="wps">
            <w:drawing>
              <wp:anchor distT="0" distB="0" distL="114300" distR="114300" simplePos="0" relativeHeight="251655680" behindDoc="0" locked="1" layoutInCell="1" allowOverlap="1">
                <wp:simplePos x="0" y="0"/>
                <wp:positionH relativeFrom="margin">
                  <wp:align>center</wp:align>
                </wp:positionH>
                <wp:positionV relativeFrom="page">
                  <wp:posOffset>4959350</wp:posOffset>
                </wp:positionV>
                <wp:extent cx="3200400" cy="495300"/>
                <wp:effectExtent l="6350" t="9525" r="12700" b="952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495300"/>
                        </a:xfrm>
                        <a:prstGeom prst="rect">
                          <a:avLst/>
                        </a:prstGeom>
                        <a:extLst>
                          <a:ext uri="{AF507438-7753-43E0-B8FC-AC1667EBCBE1}">
                            <a14:hiddenEffects xmlns:a14="http://schemas.microsoft.com/office/drawing/2010/main">
                              <a:effectLst/>
                            </a14:hiddenEffects>
                          </a:ext>
                        </a:extLst>
                      </wps:spPr>
                      <wps:txbx>
                        <w:txbxContent>
                          <w:p w:rsidR="00A30067" w:rsidRDefault="00A30067" w:rsidP="00A30067">
                            <w:pPr>
                              <w:pStyle w:val="NormalWeb"/>
                              <w:spacing w:before="0" w:beforeAutospacing="0" w:after="0" w:afterAutospacing="0"/>
                              <w:jc w:val="center"/>
                            </w:pPr>
                            <w:r>
                              <w:rPr>
                                <w:rFonts w:ascii="Arial Black" w:hAnsi="Arial Black"/>
                                <w:color w:val="00B050"/>
                                <w:sz w:val="56"/>
                                <w:szCs w:val="56"/>
                                <w14:textOutline w14:w="9525" w14:cap="flat" w14:cmpd="sng" w14:algn="ctr">
                                  <w14:solidFill>
                                    <w14:srgbClr w14:val="00B050"/>
                                  </w14:solidFill>
                                  <w14:prstDash w14:val="solid"/>
                                  <w14:round/>
                                </w14:textOutline>
                              </w:rPr>
                              <w:t>POLÍTICA DE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8" type="#_x0000_t202" style="position:absolute;left:0;text-align:left;margin-left:0;margin-top:390.5pt;width:252pt;height:39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" filled="f" stroked="f">
                <o:lock v:ext="edit" shapetype="t"/>
                <v:textbox style="mso-fit-shape-to-text:t">
                  <w:txbxContent>
                    <w:p w:rsidR="00A30067" w:rsidRDefault="00A30067" w:rsidP="00A30067">
                      <w:pPr>
                        <w:pStyle w:val="NormalWeb"/>
                        <w:spacing w:before="0" w:beforeAutospacing="0" w:after="0" w:afterAutospacing="0"/>
                        <w:jc w:val="center"/>
                      </w:pPr>
                      <w:r>
                        <w:rPr>
                          <w:rFonts w:ascii="Arial Black" w:hAnsi="Arial Black"/>
                          <w:color w:val="00B050"/>
                          <w:sz w:val="56"/>
                          <w:szCs w:val="56"/>
                          <w14:textOutline w14:w="9525" w14:cap="flat" w14:cmpd="sng" w14:algn="ctr">
                            <w14:solidFill>
                              <w14:srgbClr w14:val="00B050"/>
                            </w14:solidFill>
                            <w14:prstDash w14:val="solid"/>
                            <w14:round/>
                          </w14:textOutline>
                        </w:rPr>
                        <w:t>POLÍTICA DE</w:t>
                      </w:r>
                    </w:p>
                  </w:txbxContent>
                </v:textbox>
                <w10:wrap anchorx="margin" anchory="page"/>
                <w10:anchorlock/>
              </v:shape>
            </w:pict>
          </mc:Fallback>
        </mc:AlternateContent>
      </w: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A30067" w:rsidP="004F6085">
      <w:pPr>
        <w:shd w:val="clear" w:color="auto" w:fill="FFFFFF"/>
        <w:jc w:val="both"/>
        <w:rPr>
          <w:rFonts w:ascii="Arial" w:hAnsi="Arial" w:cs="Arial"/>
        </w:rPr>
      </w:pPr>
      <w:r>
        <w:rPr>
          <w:rFonts w:ascii="Arial" w:hAnsi="Arial" w:cs="Arial"/>
          <w:noProof/>
        </w:rPr>
        <mc:AlternateContent>
          <mc:Choice Requires="wps">
            <w:drawing>
              <wp:anchor distT="0" distB="0" distL="114300" distR="114300" simplePos="0" relativeHeight="251658752" behindDoc="0" locked="1" layoutInCell="1" allowOverlap="1">
                <wp:simplePos x="0" y="0"/>
                <wp:positionH relativeFrom="margin">
                  <wp:align>center</wp:align>
                </wp:positionH>
                <wp:positionV relativeFrom="page">
                  <wp:posOffset>6304915</wp:posOffset>
                </wp:positionV>
                <wp:extent cx="3200400" cy="495300"/>
                <wp:effectExtent l="6350" t="7620" r="12700" b="11430"/>
                <wp:wrapNone/>
                <wp:docPr id="6"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495300"/>
                        </a:xfrm>
                        <a:prstGeom prst="rect">
                          <a:avLst/>
                        </a:prstGeom>
                        <a:extLst>
                          <a:ext uri="{AF507438-7753-43E0-B8FC-AC1667EBCBE1}">
                            <a14:hiddenEffects xmlns:a14="http://schemas.microsoft.com/office/drawing/2010/main">
                              <a:effectLst/>
                            </a14:hiddenEffects>
                          </a:ext>
                        </a:extLst>
                      </wps:spPr>
                      <wps:txbx>
                        <w:txbxContent>
                          <w:p w:rsidR="00A30067" w:rsidRDefault="00A30067" w:rsidP="00A30067">
                            <w:pPr>
                              <w:pStyle w:val="NormalWeb"/>
                              <w:spacing w:before="0" w:beforeAutospacing="0" w:after="0" w:afterAutospacing="0"/>
                              <w:jc w:val="center"/>
                            </w:pPr>
                            <w:r>
                              <w:rPr>
                                <w:rFonts w:ascii="Arial Black" w:hAnsi="Arial Black"/>
                                <w:color w:val="00B050"/>
                                <w:sz w:val="56"/>
                                <w:szCs w:val="56"/>
                                <w14:textOutline w14:w="9525" w14:cap="flat" w14:cmpd="sng" w14:algn="ctr">
                                  <w14:solidFill>
                                    <w14:srgbClr w14:val="00B050"/>
                                  </w14:solidFill>
                                  <w14:prstDash w14:val="solid"/>
                                  <w14:round/>
                                </w14:textOutline>
                              </w:rPr>
                              <w:t>EXERCÍCIO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6" o:spid="_x0000_s1029" type="#_x0000_t202" style="position:absolute;left:0;text-align:left;margin-left:0;margin-top:496.45pt;width:252pt;height:3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" filled="f" stroked="f">
                <o:lock v:ext="edit" shapetype="t"/>
                <v:textbox style="mso-fit-shape-to-text:t">
                  <w:txbxContent>
                    <w:p w:rsidR="00A30067" w:rsidRDefault="00A30067" w:rsidP="00A30067">
                      <w:pPr>
                        <w:pStyle w:val="NormalWeb"/>
                        <w:spacing w:before="0" w:beforeAutospacing="0" w:after="0" w:afterAutospacing="0"/>
                        <w:jc w:val="center"/>
                      </w:pPr>
                      <w:r>
                        <w:rPr>
                          <w:rFonts w:ascii="Arial Black" w:hAnsi="Arial Black"/>
                          <w:color w:val="00B050"/>
                          <w:sz w:val="56"/>
                          <w:szCs w:val="56"/>
                          <w14:textOutline w14:w="9525" w14:cap="flat" w14:cmpd="sng" w14:algn="ctr">
                            <w14:solidFill>
                              <w14:srgbClr w14:val="00B050"/>
                            </w14:solidFill>
                            <w14:prstDash w14:val="solid"/>
                            <w14:round/>
                          </w14:textOutline>
                        </w:rPr>
                        <w:t>EXERCÍCIO</w:t>
                      </w:r>
                    </w:p>
                  </w:txbxContent>
                </v:textbox>
                <w10:wrap anchorx="margin" anchory="page"/>
                <w10:anchorlock/>
              </v:shape>
            </w:pict>
          </mc:Fallback>
        </mc:AlternateContent>
      </w: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106495" w:rsidRPr="007A690D" w:rsidRDefault="00106495" w:rsidP="004F6085">
      <w:pPr>
        <w:shd w:val="clear" w:color="auto" w:fill="FFFFFF"/>
        <w:jc w:val="both"/>
        <w:rPr>
          <w:rFonts w:ascii="Arial" w:hAnsi="Arial" w:cs="Arial"/>
        </w:rPr>
      </w:pPr>
    </w:p>
    <w:p w:rsidR="00106495" w:rsidRPr="007A690D" w:rsidRDefault="0010649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056652" w:rsidRPr="007A690D" w:rsidRDefault="00056652" w:rsidP="004F6085">
      <w:pPr>
        <w:shd w:val="clear" w:color="auto" w:fill="FFFFFF"/>
        <w:jc w:val="both"/>
        <w:rPr>
          <w:rFonts w:ascii="Arial" w:hAnsi="Arial" w:cs="Arial"/>
        </w:rPr>
      </w:pPr>
    </w:p>
    <w:p w:rsidR="00056652" w:rsidRPr="007A690D" w:rsidRDefault="00056652" w:rsidP="004F6085">
      <w:pPr>
        <w:shd w:val="clear" w:color="auto" w:fill="FFFFFF"/>
        <w:jc w:val="both"/>
        <w:rPr>
          <w:rFonts w:ascii="Arial" w:hAnsi="Arial" w:cs="Arial"/>
        </w:rPr>
      </w:pPr>
    </w:p>
    <w:p w:rsidR="00056652" w:rsidRPr="007A690D" w:rsidRDefault="00056652" w:rsidP="004F6085">
      <w:pPr>
        <w:shd w:val="clear" w:color="auto" w:fill="FFFFFF"/>
        <w:jc w:val="both"/>
        <w:rPr>
          <w:rFonts w:ascii="Arial" w:hAnsi="Arial" w:cs="Arial"/>
        </w:rPr>
      </w:pPr>
    </w:p>
    <w:p w:rsidR="00056652" w:rsidRPr="007A690D" w:rsidRDefault="00056652" w:rsidP="004F6085">
      <w:pPr>
        <w:shd w:val="clear" w:color="auto" w:fill="FFFFFF"/>
        <w:jc w:val="both"/>
        <w:rPr>
          <w:rFonts w:ascii="Arial" w:hAnsi="Arial" w:cs="Arial"/>
        </w:rPr>
      </w:pPr>
    </w:p>
    <w:p w:rsidR="00056652" w:rsidRPr="007A690D" w:rsidRDefault="00056652" w:rsidP="004F6085">
      <w:pPr>
        <w:shd w:val="clear" w:color="auto" w:fill="FFFFFF"/>
        <w:jc w:val="both"/>
        <w:rPr>
          <w:rFonts w:ascii="Arial" w:hAnsi="Arial" w:cs="Arial"/>
        </w:rPr>
      </w:pPr>
    </w:p>
    <w:p w:rsidR="00C95723" w:rsidRPr="007A690D" w:rsidRDefault="00C95723" w:rsidP="004F6085">
      <w:pPr>
        <w:shd w:val="clear" w:color="auto" w:fill="FFFFFF"/>
        <w:jc w:val="both"/>
        <w:rPr>
          <w:rFonts w:ascii="Arial" w:hAnsi="Arial" w:cs="Arial"/>
        </w:rPr>
      </w:pPr>
    </w:p>
    <w:p w:rsidR="00C95723" w:rsidRPr="007A690D" w:rsidRDefault="00C95723"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7A690D" w:rsidRDefault="004F6085" w:rsidP="004F6085">
      <w:pPr>
        <w:shd w:val="clear" w:color="auto" w:fill="FFFFFF"/>
        <w:jc w:val="both"/>
        <w:rPr>
          <w:rFonts w:ascii="Arial" w:hAnsi="Arial" w:cs="Arial"/>
        </w:rPr>
      </w:pPr>
    </w:p>
    <w:p w:rsidR="004F6085" w:rsidRPr="00A30067" w:rsidRDefault="004F6085" w:rsidP="004F6085">
      <w:pPr>
        <w:shd w:val="clear" w:color="auto" w:fill="FFFFFF"/>
        <w:jc w:val="center"/>
        <w:rPr>
          <w:rFonts w:ascii="Arial" w:hAnsi="Arial" w:cs="Arial"/>
          <w:b/>
          <w:i/>
          <w:outline/>
          <w:color w:val="FFFFFF" w:themeColor="background1"/>
          <w:sz w:val="40"/>
          <w:szCs w:val="40"/>
          <w14:textOutline w14:w="9525" w14:cap="flat" w14:cmpd="sng" w14:algn="ctr">
            <w14:solidFill>
              <w14:schemeClr w14:val="bg1"/>
            </w14:solidFill>
            <w14:prstDash w14:val="solid"/>
            <w14:round/>
          </w14:textOutline>
          <w14:textFill>
            <w14:noFill/>
          </w14:textFill>
        </w:rPr>
      </w:pPr>
    </w:p>
    <w:p w:rsidR="00CD277F" w:rsidRDefault="009F1CF2" w:rsidP="005C1F8A">
      <w:pPr>
        <w:pStyle w:val="Sumrio1"/>
      </w:pPr>
      <w:r w:rsidRPr="003944BF">
        <w:br w:type="page"/>
      </w:r>
      <w:r w:rsidR="006F0494">
        <w:lastRenderedPageBreak/>
        <w:t>Í</w:t>
      </w:r>
      <w:r w:rsidR="00CD277F" w:rsidRPr="006F0494">
        <w:t>ndice</w:t>
      </w:r>
    </w:p>
    <w:p w:rsidR="006F0494" w:rsidRPr="006F0494" w:rsidRDefault="006F0494" w:rsidP="006F0494"/>
    <w:p w:rsidR="00CC7072" w:rsidRPr="00DF55BC" w:rsidRDefault="00847C3B" w:rsidP="005C1F8A">
      <w:pPr>
        <w:pStyle w:val="Sumrio1"/>
        <w:rPr>
          <w:rStyle w:val="Hyperlink"/>
          <w:caps w:val="0"/>
          <w:color w:val="000000"/>
        </w:rPr>
      </w:pPr>
      <w:r w:rsidRPr="00530A93">
        <w:fldChar w:fldCharType="begin"/>
      </w:r>
      <w:r w:rsidR="00CD277F" w:rsidRPr="00530A93">
        <w:instrText xml:space="preserve"> TOC \o "1-2" \h \z \u </w:instrText>
      </w:r>
      <w:r w:rsidRPr="00530A93">
        <w:fldChar w:fldCharType="separate"/>
      </w:r>
      <w:hyperlink w:anchor="_Toc184817246" w:history="1">
        <w:r w:rsidR="00CC7072" w:rsidRPr="00DF55BC">
          <w:rPr>
            <w:rStyle w:val="Hyperlink"/>
            <w:caps w:val="0"/>
            <w:color w:val="000000"/>
          </w:rPr>
          <w:t>1</w:t>
        </w:r>
        <w:r w:rsidR="006F0494" w:rsidRPr="00DF55BC">
          <w:rPr>
            <w:rStyle w:val="Hyperlink"/>
            <w:caps w:val="0"/>
            <w:color w:val="000000"/>
          </w:rPr>
          <w:t>.</w:t>
        </w:r>
        <w:r w:rsidR="00CC7072" w:rsidRPr="00DF55BC">
          <w:tab/>
        </w:r>
        <w:r w:rsidR="006F0494" w:rsidRPr="00DF55BC">
          <w:rPr>
            <w:rStyle w:val="Hyperlink"/>
            <w:caps w:val="0"/>
            <w:color w:val="000000"/>
          </w:rPr>
          <w:t>INTRODUÇÃO</w:t>
        </w:r>
        <w:r w:rsidR="00CC7072" w:rsidRPr="00DF55BC">
          <w:rPr>
            <w:webHidden/>
          </w:rPr>
          <w:tab/>
        </w:r>
        <w:r w:rsidRPr="00DF55BC">
          <w:rPr>
            <w:webHidden/>
          </w:rPr>
          <w:fldChar w:fldCharType="begin"/>
        </w:r>
        <w:r w:rsidR="00CC7072" w:rsidRPr="00DF55BC">
          <w:rPr>
            <w:webHidden/>
          </w:rPr>
          <w:instrText xml:space="preserve"> PAGEREF _Toc184817246 \h </w:instrText>
        </w:r>
        <w:r w:rsidRPr="00DF55BC">
          <w:rPr>
            <w:webHidden/>
          </w:rPr>
        </w:r>
        <w:r w:rsidRPr="00DF55BC">
          <w:rPr>
            <w:webHidden/>
          </w:rPr>
          <w:fldChar w:fldCharType="separate"/>
        </w:r>
        <w:r w:rsidR="00226A6D">
          <w:rPr>
            <w:webHidden/>
          </w:rPr>
          <w:t>3</w:t>
        </w:r>
        <w:r w:rsidRPr="00DF55BC">
          <w:rPr>
            <w:webHidden/>
          </w:rPr>
          <w:fldChar w:fldCharType="end"/>
        </w:r>
      </w:hyperlink>
    </w:p>
    <w:p w:rsidR="006F0494" w:rsidRPr="00DF55BC" w:rsidRDefault="00EB476B" w:rsidP="005C1F8A">
      <w:pPr>
        <w:pStyle w:val="Sumrio1"/>
        <w:rPr>
          <w:rStyle w:val="Hyperlink"/>
          <w:caps w:val="0"/>
          <w:color w:val="000000"/>
        </w:rPr>
      </w:pPr>
      <w:hyperlink w:anchor="_Toc184817246" w:history="1">
        <w:r w:rsidR="006F0494" w:rsidRPr="00DF55BC">
          <w:rPr>
            <w:rStyle w:val="Hyperlink"/>
            <w:caps w:val="0"/>
            <w:color w:val="000000"/>
          </w:rPr>
          <w:t>2.</w:t>
        </w:r>
        <w:r w:rsidR="006F0494" w:rsidRPr="00DF55BC">
          <w:tab/>
        </w:r>
        <w:r w:rsidR="006F0494" w:rsidRPr="00DF55BC">
          <w:rPr>
            <w:rStyle w:val="Hyperlink"/>
            <w:caps w:val="0"/>
            <w:color w:val="000000"/>
          </w:rPr>
          <w:t>OBJETIVOS</w:t>
        </w:r>
        <w:r w:rsidR="006F0494" w:rsidRPr="00DF55BC">
          <w:rPr>
            <w:webHidden/>
          </w:rPr>
          <w:tab/>
        </w:r>
        <w:r w:rsidR="00847C3B" w:rsidRPr="00DF55BC">
          <w:rPr>
            <w:webHidden/>
          </w:rPr>
          <w:fldChar w:fldCharType="begin"/>
        </w:r>
        <w:r w:rsidR="006F0494" w:rsidRPr="00DF55BC">
          <w:rPr>
            <w:webHidden/>
          </w:rPr>
          <w:instrText xml:space="preserve"> PAGEREF _Toc184817246 \h </w:instrText>
        </w:r>
        <w:r w:rsidR="00847C3B" w:rsidRPr="00DF55BC">
          <w:rPr>
            <w:webHidden/>
          </w:rPr>
        </w:r>
        <w:r w:rsidR="00847C3B" w:rsidRPr="00DF55BC">
          <w:rPr>
            <w:webHidden/>
          </w:rPr>
          <w:fldChar w:fldCharType="separate"/>
        </w:r>
        <w:r w:rsidR="00226A6D">
          <w:rPr>
            <w:webHidden/>
          </w:rPr>
          <w:t>3</w:t>
        </w:r>
        <w:r w:rsidR="00847C3B" w:rsidRPr="00DF55BC">
          <w:rPr>
            <w:webHidden/>
          </w:rPr>
          <w:fldChar w:fldCharType="end"/>
        </w:r>
      </w:hyperlink>
    </w:p>
    <w:p w:rsidR="00CC7072" w:rsidRPr="005C1F8A" w:rsidRDefault="00EB476B" w:rsidP="005C1F8A">
      <w:pPr>
        <w:pStyle w:val="Sumrio1"/>
      </w:pPr>
      <w:hyperlink w:anchor="_Toc184817247" w:history="1">
        <w:r w:rsidR="006F0494" w:rsidRPr="005C1F8A">
          <w:rPr>
            <w:rStyle w:val="Hyperlink"/>
            <w:color w:val="000000"/>
          </w:rPr>
          <w:t>3.</w:t>
        </w:r>
        <w:r w:rsidR="00CC7072" w:rsidRPr="005C1F8A">
          <w:tab/>
        </w:r>
        <w:r w:rsidR="00CC7072" w:rsidRPr="005C1F8A">
          <w:rPr>
            <w:rStyle w:val="Hyperlink"/>
            <w:color w:val="000000"/>
          </w:rPr>
          <w:t>Vigência da Política de Investimento</w:t>
        </w:r>
        <w:r w:rsidR="006F0494" w:rsidRPr="005C1F8A">
          <w:rPr>
            <w:rStyle w:val="Hyperlink"/>
            <w:color w:val="000000"/>
          </w:rPr>
          <w:t>S</w:t>
        </w:r>
        <w:r w:rsidR="00CC7072" w:rsidRPr="005C1F8A">
          <w:rPr>
            <w:webHidden/>
          </w:rPr>
          <w:tab/>
        </w:r>
        <w:r w:rsidR="00847C3B" w:rsidRPr="005C1F8A">
          <w:rPr>
            <w:webHidden/>
          </w:rPr>
          <w:fldChar w:fldCharType="begin"/>
        </w:r>
        <w:r w:rsidR="00CC7072" w:rsidRPr="005C1F8A">
          <w:rPr>
            <w:webHidden/>
          </w:rPr>
          <w:instrText xml:space="preserve"> PAGEREF _Toc184817247 \h </w:instrText>
        </w:r>
        <w:r w:rsidR="00847C3B" w:rsidRPr="005C1F8A">
          <w:rPr>
            <w:webHidden/>
          </w:rPr>
        </w:r>
        <w:r w:rsidR="00847C3B" w:rsidRPr="005C1F8A">
          <w:rPr>
            <w:webHidden/>
          </w:rPr>
          <w:fldChar w:fldCharType="separate"/>
        </w:r>
        <w:r w:rsidR="00226A6D">
          <w:rPr>
            <w:webHidden/>
          </w:rPr>
          <w:t>4</w:t>
        </w:r>
        <w:r w:rsidR="00847C3B" w:rsidRPr="005C1F8A">
          <w:rPr>
            <w:webHidden/>
          </w:rPr>
          <w:fldChar w:fldCharType="end"/>
        </w:r>
      </w:hyperlink>
    </w:p>
    <w:p w:rsidR="00CC7072" w:rsidRPr="005C1F8A" w:rsidRDefault="00EB476B" w:rsidP="005C1F8A">
      <w:pPr>
        <w:pStyle w:val="Sumrio1"/>
      </w:pPr>
      <w:hyperlink w:anchor="_Toc184817248" w:history="1">
        <w:r w:rsidR="006F0494" w:rsidRPr="005C1F8A">
          <w:rPr>
            <w:rStyle w:val="Hyperlink"/>
            <w:color w:val="000000"/>
          </w:rPr>
          <w:t>4.</w:t>
        </w:r>
        <w:r w:rsidR="00CC7072" w:rsidRPr="005C1F8A">
          <w:tab/>
        </w:r>
        <w:r w:rsidR="00CC7072" w:rsidRPr="005C1F8A">
          <w:rPr>
            <w:rStyle w:val="Hyperlink"/>
            <w:color w:val="000000"/>
          </w:rPr>
          <w:t>Gestão dos Recursos</w:t>
        </w:r>
        <w:r w:rsidR="00CC7072" w:rsidRPr="005C1F8A">
          <w:rPr>
            <w:webHidden/>
          </w:rPr>
          <w:tab/>
        </w:r>
        <w:r w:rsidR="00847C3B" w:rsidRPr="005C1F8A">
          <w:rPr>
            <w:webHidden/>
          </w:rPr>
          <w:fldChar w:fldCharType="begin"/>
        </w:r>
        <w:r w:rsidR="00CC7072" w:rsidRPr="005C1F8A">
          <w:rPr>
            <w:webHidden/>
          </w:rPr>
          <w:instrText xml:space="preserve"> PAGEREF _Toc184817248 \h </w:instrText>
        </w:r>
        <w:r w:rsidR="00847C3B" w:rsidRPr="005C1F8A">
          <w:rPr>
            <w:webHidden/>
          </w:rPr>
        </w:r>
        <w:r w:rsidR="00847C3B" w:rsidRPr="005C1F8A">
          <w:rPr>
            <w:webHidden/>
          </w:rPr>
          <w:fldChar w:fldCharType="separate"/>
        </w:r>
        <w:r w:rsidR="00226A6D">
          <w:rPr>
            <w:webHidden/>
          </w:rPr>
          <w:t>4</w:t>
        </w:r>
        <w:r w:rsidR="00847C3B" w:rsidRPr="005C1F8A">
          <w:rPr>
            <w:webHidden/>
          </w:rPr>
          <w:fldChar w:fldCharType="end"/>
        </w:r>
      </w:hyperlink>
    </w:p>
    <w:p w:rsidR="006F0494" w:rsidRPr="00DF55BC" w:rsidRDefault="00EB476B" w:rsidP="0076138F">
      <w:pPr>
        <w:pStyle w:val="Sumrio2"/>
        <w:rPr>
          <w:smallCaps w:val="0"/>
        </w:rPr>
      </w:pPr>
      <w:hyperlink w:anchor="_Toc184817249" w:history="1">
        <w:r w:rsidR="006F0494" w:rsidRPr="00DF55BC">
          <w:rPr>
            <w:rStyle w:val="Hyperlink"/>
            <w:smallCaps w:val="0"/>
            <w:color w:val="000000"/>
          </w:rPr>
          <w:t>4.1</w:t>
        </w:r>
        <w:r w:rsidR="00CB7916" w:rsidRPr="00DF55BC">
          <w:rPr>
            <w:rStyle w:val="Hyperlink"/>
            <w:smallCaps w:val="0"/>
            <w:color w:val="000000"/>
          </w:rPr>
          <w:t>.</w:t>
        </w:r>
        <w:r w:rsidR="006F0494" w:rsidRPr="00DF55BC">
          <w:rPr>
            <w:smallCaps w:val="0"/>
          </w:rPr>
          <w:tab/>
        </w:r>
        <w:r w:rsidR="006F0494" w:rsidRPr="00DF55BC">
          <w:rPr>
            <w:rStyle w:val="Hyperlink"/>
            <w:smallCaps w:val="0"/>
            <w:color w:val="000000"/>
          </w:rPr>
          <w:t>Comitê de Investimentos</w:t>
        </w:r>
        <w:r w:rsidR="006F0494" w:rsidRPr="00DF55BC">
          <w:rPr>
            <w:smallCaps w:val="0"/>
            <w:webHidden/>
          </w:rPr>
          <w:tab/>
        </w:r>
        <w:r w:rsidR="005C1F8A">
          <w:rPr>
            <w:webHidden/>
          </w:rPr>
          <w:t>4</w:t>
        </w:r>
      </w:hyperlink>
    </w:p>
    <w:p w:rsidR="00545DEF" w:rsidRDefault="00EB476B" w:rsidP="0076138F">
      <w:pPr>
        <w:pStyle w:val="Sumrio2"/>
        <w:rPr>
          <w:rStyle w:val="Hyperlink"/>
          <w:smallCaps w:val="0"/>
          <w:color w:val="000000"/>
        </w:rPr>
      </w:pPr>
      <w:hyperlink w:anchor="_Toc184817249" w:history="1">
        <w:r w:rsidR="006F0494" w:rsidRPr="00DF55BC">
          <w:rPr>
            <w:rStyle w:val="Hyperlink"/>
            <w:smallCaps w:val="0"/>
            <w:color w:val="000000"/>
          </w:rPr>
          <w:t>4.2</w:t>
        </w:r>
        <w:r w:rsidR="00CB7916" w:rsidRPr="00DF55BC">
          <w:rPr>
            <w:rStyle w:val="Hyperlink"/>
            <w:smallCaps w:val="0"/>
            <w:color w:val="000000"/>
          </w:rPr>
          <w:t>.</w:t>
        </w:r>
        <w:r w:rsidR="006F0494" w:rsidRPr="00DF55BC">
          <w:rPr>
            <w:smallCaps w:val="0"/>
          </w:rPr>
          <w:tab/>
        </w:r>
        <w:r w:rsidR="00E92FA4" w:rsidRPr="00DF55BC">
          <w:rPr>
            <w:bCs/>
            <w:smallCaps w:val="0"/>
          </w:rPr>
          <w:t>Definição da Aplicação de Recursos</w:t>
        </w:r>
        <w:r w:rsidR="006F0494" w:rsidRPr="00DF55BC">
          <w:rPr>
            <w:smallCaps w:val="0"/>
            <w:webHidden/>
          </w:rPr>
          <w:tab/>
        </w:r>
        <w:r w:rsidR="005C1F8A">
          <w:rPr>
            <w:smallCaps w:val="0"/>
            <w:webHidden/>
          </w:rPr>
          <w:t>4</w:t>
        </w:r>
      </w:hyperlink>
    </w:p>
    <w:p w:rsidR="005C1F8A" w:rsidRPr="005C1F8A" w:rsidRDefault="005C1F8A" w:rsidP="005C1F8A">
      <w:pPr>
        <w:ind w:firstLine="993"/>
      </w:pPr>
      <w:r w:rsidRPr="005C1F8A">
        <w:rPr>
          <w:rFonts w:ascii="Arial" w:hAnsi="Arial" w:cs="Arial"/>
          <w:sz w:val="20"/>
          <w:szCs w:val="20"/>
        </w:rPr>
        <w:t>4.2.1</w:t>
      </w:r>
      <w:r>
        <w:t xml:space="preserve"> - </w:t>
      </w:r>
      <w:r w:rsidRPr="005C1F8A">
        <w:rPr>
          <w:rFonts w:ascii="Arial" w:hAnsi="Arial" w:cs="Arial"/>
          <w:sz w:val="20"/>
          <w:szCs w:val="20"/>
        </w:rPr>
        <w:t>Fatores de Risco</w:t>
      </w:r>
      <w:r>
        <w:rPr>
          <w:rFonts w:ascii="Arial" w:hAnsi="Arial" w:cs="Arial"/>
          <w:sz w:val="20"/>
          <w:szCs w:val="20"/>
        </w:rPr>
        <w:t>..</w:t>
      </w:r>
      <w:r>
        <w:t>..........................................................................................5</w:t>
      </w:r>
    </w:p>
    <w:p w:rsidR="006F0494" w:rsidRPr="00DF55BC" w:rsidRDefault="00EB476B" w:rsidP="0076138F">
      <w:pPr>
        <w:pStyle w:val="Sumrio2"/>
        <w:rPr>
          <w:smallCaps w:val="0"/>
        </w:rPr>
      </w:pPr>
      <w:hyperlink w:anchor="_Toc184817249" w:history="1">
        <w:r w:rsidR="00E92FA4" w:rsidRPr="00DF55BC">
          <w:rPr>
            <w:rStyle w:val="Hyperlink"/>
            <w:smallCaps w:val="0"/>
            <w:color w:val="000000"/>
          </w:rPr>
          <w:t>4.3</w:t>
        </w:r>
        <w:r w:rsidR="00CB7916" w:rsidRPr="00DF55BC">
          <w:rPr>
            <w:rStyle w:val="Hyperlink"/>
            <w:smallCaps w:val="0"/>
            <w:color w:val="000000"/>
          </w:rPr>
          <w:t>.</w:t>
        </w:r>
        <w:r w:rsidR="006F0494" w:rsidRPr="00DF55BC">
          <w:rPr>
            <w:smallCaps w:val="0"/>
          </w:rPr>
          <w:tab/>
        </w:r>
        <w:r w:rsidR="00E92FA4" w:rsidRPr="00DF55BC">
          <w:rPr>
            <w:rStyle w:val="Hyperlink"/>
            <w:smallCaps w:val="0"/>
            <w:color w:val="000000"/>
          </w:rPr>
          <w:t>Capacitação de Gestores, Servidores e Membros dos Conselhos</w:t>
        </w:r>
        <w:r w:rsidR="006F0494" w:rsidRPr="00DF55BC">
          <w:rPr>
            <w:smallCaps w:val="0"/>
            <w:webHidden/>
          </w:rPr>
          <w:tab/>
        </w:r>
      </w:hyperlink>
      <w:r w:rsidR="00276E57" w:rsidRPr="00DF55BC">
        <w:rPr>
          <w:rStyle w:val="Hyperlink"/>
          <w:smallCaps w:val="0"/>
          <w:color w:val="000000"/>
          <w:u w:val="none"/>
        </w:rPr>
        <w:t>6</w:t>
      </w:r>
    </w:p>
    <w:p w:rsidR="0014132F" w:rsidRPr="00DF55BC" w:rsidRDefault="0014132F" w:rsidP="0014132F">
      <w:pPr>
        <w:ind w:firstLine="993"/>
        <w:rPr>
          <w:rFonts w:ascii="Arial" w:hAnsi="Arial" w:cs="Arial"/>
          <w:color w:val="000000"/>
          <w:sz w:val="20"/>
          <w:szCs w:val="20"/>
        </w:rPr>
      </w:pPr>
      <w:r w:rsidRPr="00DF55BC">
        <w:rPr>
          <w:rFonts w:ascii="Arial" w:hAnsi="Arial" w:cs="Arial"/>
          <w:color w:val="000000"/>
          <w:sz w:val="20"/>
          <w:szCs w:val="20"/>
        </w:rPr>
        <w:t xml:space="preserve">4.3.1 - </w:t>
      </w:r>
      <w:r w:rsidR="00DF55BC">
        <w:rPr>
          <w:rFonts w:ascii="Arial" w:hAnsi="Arial" w:cs="Arial"/>
          <w:color w:val="000000"/>
          <w:sz w:val="20"/>
          <w:szCs w:val="20"/>
        </w:rPr>
        <w:t>Aprimoramento do CIAP.</w:t>
      </w:r>
      <w:r w:rsidRPr="00DF55BC">
        <w:rPr>
          <w:rFonts w:ascii="Arial" w:hAnsi="Arial" w:cs="Arial"/>
          <w:color w:val="000000"/>
          <w:sz w:val="20"/>
          <w:szCs w:val="20"/>
        </w:rPr>
        <w:t xml:space="preserve"> ....................................</w:t>
      </w:r>
      <w:r w:rsidR="00DF55BC">
        <w:rPr>
          <w:rFonts w:ascii="Arial" w:hAnsi="Arial" w:cs="Arial"/>
          <w:color w:val="000000"/>
          <w:sz w:val="20"/>
          <w:szCs w:val="20"/>
        </w:rPr>
        <w:t>..</w:t>
      </w:r>
      <w:r w:rsidRPr="00DF55BC">
        <w:rPr>
          <w:rFonts w:ascii="Arial" w:hAnsi="Arial" w:cs="Arial"/>
          <w:color w:val="000000"/>
          <w:sz w:val="20"/>
          <w:szCs w:val="20"/>
        </w:rPr>
        <w:t>............................................... 6</w:t>
      </w:r>
    </w:p>
    <w:p w:rsidR="00E92FA4" w:rsidRPr="00DF55BC" w:rsidRDefault="00EB476B" w:rsidP="0076138F">
      <w:pPr>
        <w:pStyle w:val="Sumrio2"/>
        <w:rPr>
          <w:rStyle w:val="Hyperlink"/>
          <w:b/>
          <w:smallCaps w:val="0"/>
          <w:color w:val="000000"/>
        </w:rPr>
      </w:pPr>
      <w:hyperlink w:anchor="_Toc184817249" w:history="1">
        <w:r w:rsidR="00E92FA4" w:rsidRPr="00DF55BC">
          <w:rPr>
            <w:rStyle w:val="Hyperlink"/>
            <w:smallCaps w:val="0"/>
            <w:color w:val="000000"/>
          </w:rPr>
          <w:t>4.4</w:t>
        </w:r>
        <w:r w:rsidR="00CB7916" w:rsidRPr="00DF55BC">
          <w:rPr>
            <w:rStyle w:val="Hyperlink"/>
            <w:smallCaps w:val="0"/>
            <w:color w:val="000000"/>
          </w:rPr>
          <w:t>.</w:t>
        </w:r>
        <w:r w:rsidR="00E92FA4" w:rsidRPr="00DF55BC">
          <w:rPr>
            <w:smallCaps w:val="0"/>
          </w:rPr>
          <w:tab/>
        </w:r>
        <w:r w:rsidR="00E92FA4" w:rsidRPr="00DF55BC">
          <w:rPr>
            <w:rStyle w:val="Hyperlink"/>
            <w:smallCaps w:val="0"/>
            <w:color w:val="000000"/>
          </w:rPr>
          <w:t>Política de Transparência</w:t>
        </w:r>
        <w:r w:rsidR="00E92FA4" w:rsidRPr="00DF55BC">
          <w:rPr>
            <w:smallCaps w:val="0"/>
            <w:webHidden/>
          </w:rPr>
          <w:tab/>
        </w:r>
        <w:r w:rsidR="00453979" w:rsidRPr="00DF55BC">
          <w:rPr>
            <w:smallCaps w:val="0"/>
            <w:webHidden/>
          </w:rPr>
          <w:t>6</w:t>
        </w:r>
      </w:hyperlink>
    </w:p>
    <w:p w:rsidR="00E92FA4" w:rsidRPr="00DF55BC" w:rsidRDefault="00EB476B" w:rsidP="0076138F">
      <w:pPr>
        <w:pStyle w:val="Sumrio2"/>
        <w:rPr>
          <w:smallCaps w:val="0"/>
        </w:rPr>
      </w:pPr>
      <w:hyperlink w:anchor="_Toc184817249" w:history="1">
        <w:r w:rsidR="00E92FA4" w:rsidRPr="00DF55BC">
          <w:rPr>
            <w:rStyle w:val="Hyperlink"/>
            <w:smallCaps w:val="0"/>
            <w:color w:val="000000"/>
          </w:rPr>
          <w:t>4.5</w:t>
        </w:r>
        <w:r w:rsidR="00CB7916" w:rsidRPr="00DF55BC">
          <w:rPr>
            <w:rStyle w:val="Hyperlink"/>
            <w:smallCaps w:val="0"/>
            <w:color w:val="000000"/>
          </w:rPr>
          <w:t>.</w:t>
        </w:r>
        <w:r w:rsidR="00E92FA4" w:rsidRPr="00DF55BC">
          <w:rPr>
            <w:smallCaps w:val="0"/>
          </w:rPr>
          <w:tab/>
        </w:r>
        <w:r w:rsidR="00E92FA4" w:rsidRPr="00DF55BC">
          <w:rPr>
            <w:rStyle w:val="Hyperlink"/>
            <w:smallCaps w:val="0"/>
            <w:color w:val="000000"/>
          </w:rPr>
          <w:t>Orientações de Investimentos</w:t>
        </w:r>
        <w:r w:rsidR="00E92FA4" w:rsidRPr="00DF55BC">
          <w:rPr>
            <w:smallCaps w:val="0"/>
            <w:webHidden/>
          </w:rPr>
          <w:tab/>
        </w:r>
      </w:hyperlink>
      <w:r w:rsidR="00B655B6">
        <w:t>7</w:t>
      </w:r>
    </w:p>
    <w:p w:rsidR="00E92FA4" w:rsidRPr="00DF55BC" w:rsidRDefault="00EB476B" w:rsidP="0076138F">
      <w:pPr>
        <w:pStyle w:val="Sumrio2"/>
        <w:rPr>
          <w:smallCaps w:val="0"/>
        </w:rPr>
      </w:pPr>
      <w:hyperlink w:anchor="_Toc184817249" w:history="1">
        <w:r w:rsidR="00E92FA4" w:rsidRPr="00DF55BC">
          <w:rPr>
            <w:rStyle w:val="Hyperlink"/>
            <w:smallCaps w:val="0"/>
          </w:rPr>
          <w:t>4.6</w:t>
        </w:r>
        <w:r w:rsidR="00CB7916" w:rsidRPr="00DF55BC">
          <w:rPr>
            <w:rStyle w:val="Hyperlink"/>
            <w:smallCaps w:val="0"/>
          </w:rPr>
          <w:t>.</w:t>
        </w:r>
        <w:r w:rsidR="00E92FA4" w:rsidRPr="00DF55BC">
          <w:rPr>
            <w:smallCaps w:val="0"/>
          </w:rPr>
          <w:tab/>
        </w:r>
        <w:r w:rsidR="00E92FA4" w:rsidRPr="00DF55BC">
          <w:rPr>
            <w:rStyle w:val="Hyperlink"/>
            <w:smallCaps w:val="0"/>
          </w:rPr>
          <w:t>Vedações</w:t>
        </w:r>
        <w:r w:rsidR="00E92FA4" w:rsidRPr="00DF55BC">
          <w:rPr>
            <w:smallCaps w:val="0"/>
            <w:webHidden/>
          </w:rPr>
          <w:tab/>
        </w:r>
        <w:r w:rsidR="00453979" w:rsidRPr="00DF55BC">
          <w:rPr>
            <w:smallCaps w:val="0"/>
            <w:webHidden/>
          </w:rPr>
          <w:t>1</w:t>
        </w:r>
      </w:hyperlink>
      <w:r w:rsidR="00891217" w:rsidRPr="00DF55BC">
        <w:rPr>
          <w:rStyle w:val="Hyperlink"/>
          <w:smallCaps w:val="0"/>
          <w:color w:val="auto"/>
          <w:u w:val="none"/>
        </w:rPr>
        <w:t>1</w:t>
      </w:r>
    </w:p>
    <w:p w:rsidR="00E92FA4" w:rsidRPr="00DF55BC" w:rsidRDefault="00EB476B" w:rsidP="0076138F">
      <w:pPr>
        <w:pStyle w:val="Sumrio2"/>
        <w:rPr>
          <w:smallCaps w:val="0"/>
        </w:rPr>
      </w:pPr>
      <w:hyperlink w:anchor="_Toc184817249" w:history="1">
        <w:r w:rsidR="00E92FA4" w:rsidRPr="00DF55BC">
          <w:rPr>
            <w:rStyle w:val="Hyperlink"/>
            <w:smallCaps w:val="0"/>
          </w:rPr>
          <w:t>4.7</w:t>
        </w:r>
        <w:r w:rsidR="00CB7916" w:rsidRPr="00DF55BC">
          <w:rPr>
            <w:rStyle w:val="Hyperlink"/>
            <w:smallCaps w:val="0"/>
          </w:rPr>
          <w:t>.</w:t>
        </w:r>
        <w:r w:rsidR="00E92FA4" w:rsidRPr="00DF55BC">
          <w:rPr>
            <w:smallCaps w:val="0"/>
          </w:rPr>
          <w:tab/>
        </w:r>
        <w:r w:rsidR="00E92FA4" w:rsidRPr="00DF55BC">
          <w:rPr>
            <w:rStyle w:val="Hyperlink"/>
            <w:smallCaps w:val="0"/>
          </w:rPr>
          <w:t>Alocação Estratégica</w:t>
        </w:r>
        <w:r w:rsidR="00E92FA4" w:rsidRPr="00DF55BC">
          <w:rPr>
            <w:smallCaps w:val="0"/>
            <w:webHidden/>
          </w:rPr>
          <w:tab/>
          <w:t>1</w:t>
        </w:r>
      </w:hyperlink>
      <w:r w:rsidR="00B655B6">
        <w:t>2</w:t>
      </w:r>
    </w:p>
    <w:p w:rsidR="00CC7072" w:rsidRPr="00DF55BC" w:rsidRDefault="00EB476B" w:rsidP="0076138F">
      <w:pPr>
        <w:pStyle w:val="Sumrio2"/>
        <w:rPr>
          <w:smallCaps w:val="0"/>
        </w:rPr>
      </w:pPr>
      <w:hyperlink w:anchor="_Toc184817249" w:history="1">
        <w:r w:rsidR="00E92FA4" w:rsidRPr="00DF55BC">
          <w:rPr>
            <w:rStyle w:val="Hyperlink"/>
            <w:smallCaps w:val="0"/>
            <w:color w:val="auto"/>
          </w:rPr>
          <w:t>4</w:t>
        </w:r>
        <w:r w:rsidR="00CC7072" w:rsidRPr="00DF55BC">
          <w:rPr>
            <w:rStyle w:val="Hyperlink"/>
            <w:smallCaps w:val="0"/>
            <w:color w:val="auto"/>
          </w:rPr>
          <w:t>.</w:t>
        </w:r>
        <w:r w:rsidR="00E92FA4" w:rsidRPr="00DF55BC">
          <w:rPr>
            <w:rStyle w:val="Hyperlink"/>
            <w:smallCaps w:val="0"/>
            <w:color w:val="auto"/>
          </w:rPr>
          <w:t>8</w:t>
        </w:r>
        <w:r w:rsidR="00CB7916" w:rsidRPr="00DF55BC">
          <w:rPr>
            <w:rStyle w:val="Hyperlink"/>
            <w:smallCaps w:val="0"/>
            <w:color w:val="auto"/>
          </w:rPr>
          <w:t>.</w:t>
        </w:r>
        <w:r w:rsidR="00CC7072" w:rsidRPr="00DF55BC">
          <w:rPr>
            <w:smallCaps w:val="0"/>
          </w:rPr>
          <w:tab/>
        </w:r>
        <w:r w:rsidR="00CC7072" w:rsidRPr="00DF55BC">
          <w:rPr>
            <w:rStyle w:val="Hyperlink"/>
            <w:smallCaps w:val="0"/>
            <w:color w:val="auto"/>
          </w:rPr>
          <w:t>Modelo de Gestão</w:t>
        </w:r>
        <w:r w:rsidR="00CC7072" w:rsidRPr="00DF55BC">
          <w:rPr>
            <w:smallCaps w:val="0"/>
            <w:webHidden/>
          </w:rPr>
          <w:tab/>
        </w:r>
        <w:r w:rsidR="00847C3B" w:rsidRPr="00DF55BC">
          <w:rPr>
            <w:smallCaps w:val="0"/>
            <w:webHidden/>
          </w:rPr>
          <w:fldChar w:fldCharType="begin"/>
        </w:r>
        <w:r w:rsidR="00CC7072" w:rsidRPr="00DF55BC">
          <w:rPr>
            <w:smallCaps w:val="0"/>
            <w:webHidden/>
          </w:rPr>
          <w:instrText xml:space="preserve"> PAGEREF _Toc184817249 \h </w:instrText>
        </w:r>
        <w:r w:rsidR="00847C3B" w:rsidRPr="00DF55BC">
          <w:rPr>
            <w:smallCaps w:val="0"/>
            <w:webHidden/>
          </w:rPr>
        </w:r>
        <w:r w:rsidR="00847C3B" w:rsidRPr="00DF55BC">
          <w:rPr>
            <w:smallCaps w:val="0"/>
            <w:webHidden/>
          </w:rPr>
          <w:fldChar w:fldCharType="separate"/>
        </w:r>
        <w:r w:rsidR="00226A6D">
          <w:rPr>
            <w:smallCaps w:val="0"/>
            <w:webHidden/>
          </w:rPr>
          <w:t>12</w:t>
        </w:r>
        <w:r w:rsidR="00847C3B" w:rsidRPr="00DF55BC">
          <w:rPr>
            <w:smallCaps w:val="0"/>
            <w:webHidden/>
          </w:rPr>
          <w:fldChar w:fldCharType="end"/>
        </w:r>
      </w:hyperlink>
    </w:p>
    <w:p w:rsidR="00CC7072" w:rsidRPr="00DF55BC" w:rsidRDefault="00EB476B" w:rsidP="0076138F">
      <w:pPr>
        <w:pStyle w:val="Sumrio2"/>
        <w:rPr>
          <w:smallCaps w:val="0"/>
        </w:rPr>
      </w:pPr>
      <w:hyperlink w:anchor="_Toc184817250" w:history="1">
        <w:r w:rsidR="00E92FA4" w:rsidRPr="00DF55BC">
          <w:rPr>
            <w:rStyle w:val="Hyperlink"/>
            <w:smallCaps w:val="0"/>
            <w:color w:val="auto"/>
          </w:rPr>
          <w:t>4</w:t>
        </w:r>
        <w:r w:rsidR="00CC7072" w:rsidRPr="00DF55BC">
          <w:rPr>
            <w:rStyle w:val="Hyperlink"/>
            <w:smallCaps w:val="0"/>
            <w:color w:val="auto"/>
          </w:rPr>
          <w:t>.</w:t>
        </w:r>
        <w:r w:rsidR="00E92FA4" w:rsidRPr="00DF55BC">
          <w:rPr>
            <w:rStyle w:val="Hyperlink"/>
            <w:smallCaps w:val="0"/>
            <w:color w:val="auto"/>
          </w:rPr>
          <w:t>9</w:t>
        </w:r>
        <w:r w:rsidR="00CB7916" w:rsidRPr="00DF55BC">
          <w:rPr>
            <w:rStyle w:val="Hyperlink"/>
            <w:smallCaps w:val="0"/>
            <w:color w:val="auto"/>
          </w:rPr>
          <w:t>.</w:t>
        </w:r>
        <w:r w:rsidR="00CC7072" w:rsidRPr="00DF55BC">
          <w:rPr>
            <w:smallCaps w:val="0"/>
          </w:rPr>
          <w:tab/>
        </w:r>
        <w:r w:rsidR="00CC7072" w:rsidRPr="00DF55BC">
          <w:rPr>
            <w:rStyle w:val="Hyperlink"/>
            <w:smallCaps w:val="0"/>
            <w:color w:val="auto"/>
          </w:rPr>
          <w:t>Processo de Seleção de Administradores/Gestores</w:t>
        </w:r>
        <w:r w:rsidR="00CC7072" w:rsidRPr="00DF55BC">
          <w:rPr>
            <w:smallCaps w:val="0"/>
            <w:webHidden/>
          </w:rPr>
          <w:tab/>
        </w:r>
        <w:r w:rsidR="00847C3B" w:rsidRPr="00DF55BC">
          <w:rPr>
            <w:smallCaps w:val="0"/>
            <w:webHidden/>
          </w:rPr>
          <w:fldChar w:fldCharType="begin"/>
        </w:r>
        <w:r w:rsidR="00CC7072" w:rsidRPr="00DF55BC">
          <w:rPr>
            <w:smallCaps w:val="0"/>
            <w:webHidden/>
          </w:rPr>
          <w:instrText xml:space="preserve"> PAGEREF _Toc184817250 \h </w:instrText>
        </w:r>
        <w:r w:rsidR="00847C3B" w:rsidRPr="00DF55BC">
          <w:rPr>
            <w:smallCaps w:val="0"/>
            <w:webHidden/>
          </w:rPr>
        </w:r>
        <w:r w:rsidR="00847C3B" w:rsidRPr="00DF55BC">
          <w:rPr>
            <w:smallCaps w:val="0"/>
            <w:webHidden/>
          </w:rPr>
          <w:fldChar w:fldCharType="separate"/>
        </w:r>
        <w:r w:rsidR="00226A6D">
          <w:rPr>
            <w:smallCaps w:val="0"/>
            <w:webHidden/>
          </w:rPr>
          <w:t>12</w:t>
        </w:r>
        <w:r w:rsidR="00847C3B" w:rsidRPr="00DF55BC">
          <w:rPr>
            <w:smallCaps w:val="0"/>
            <w:webHidden/>
          </w:rPr>
          <w:fldChar w:fldCharType="end"/>
        </w:r>
      </w:hyperlink>
    </w:p>
    <w:p w:rsidR="00CC7072" w:rsidRPr="00DF55BC" w:rsidRDefault="00EB476B" w:rsidP="0076138F">
      <w:pPr>
        <w:pStyle w:val="Sumrio2"/>
        <w:rPr>
          <w:smallCaps w:val="0"/>
        </w:rPr>
      </w:pPr>
      <w:hyperlink w:anchor="_Toc184817251" w:history="1">
        <w:r w:rsidR="00E92FA4" w:rsidRPr="00DF55BC">
          <w:rPr>
            <w:rStyle w:val="Hyperlink"/>
            <w:smallCaps w:val="0"/>
            <w:color w:val="auto"/>
          </w:rPr>
          <w:t>4</w:t>
        </w:r>
        <w:r w:rsidR="00CC7072" w:rsidRPr="00DF55BC">
          <w:rPr>
            <w:rStyle w:val="Hyperlink"/>
            <w:smallCaps w:val="0"/>
            <w:color w:val="auto"/>
          </w:rPr>
          <w:t>.</w:t>
        </w:r>
        <w:r w:rsidR="00E92FA4" w:rsidRPr="00DF55BC">
          <w:rPr>
            <w:rStyle w:val="Hyperlink"/>
            <w:smallCaps w:val="0"/>
            <w:color w:val="auto"/>
          </w:rPr>
          <w:t>10</w:t>
        </w:r>
        <w:r w:rsidR="00CB7916" w:rsidRPr="00DF55BC">
          <w:rPr>
            <w:rStyle w:val="Hyperlink"/>
            <w:smallCaps w:val="0"/>
            <w:color w:val="auto"/>
          </w:rPr>
          <w:t>.</w:t>
        </w:r>
        <w:r w:rsidR="00CC7072" w:rsidRPr="00DF55BC">
          <w:rPr>
            <w:rStyle w:val="Hyperlink"/>
            <w:smallCaps w:val="0"/>
            <w:color w:val="auto"/>
          </w:rPr>
          <w:t>Processo de Avaliação</w:t>
        </w:r>
        <w:r w:rsidR="00CC7072" w:rsidRPr="00DF55BC">
          <w:rPr>
            <w:smallCaps w:val="0"/>
            <w:webHidden/>
          </w:rPr>
          <w:tab/>
        </w:r>
        <w:r w:rsidR="00847C3B" w:rsidRPr="00DF55BC">
          <w:rPr>
            <w:smallCaps w:val="0"/>
            <w:webHidden/>
          </w:rPr>
          <w:fldChar w:fldCharType="begin"/>
        </w:r>
        <w:r w:rsidR="00CC7072" w:rsidRPr="00DF55BC">
          <w:rPr>
            <w:smallCaps w:val="0"/>
            <w:webHidden/>
          </w:rPr>
          <w:instrText xml:space="preserve"> PAGEREF _Toc184817251 \h </w:instrText>
        </w:r>
        <w:r w:rsidR="00847C3B" w:rsidRPr="00DF55BC">
          <w:rPr>
            <w:smallCaps w:val="0"/>
            <w:webHidden/>
          </w:rPr>
        </w:r>
        <w:r w:rsidR="00847C3B" w:rsidRPr="00DF55BC">
          <w:rPr>
            <w:smallCaps w:val="0"/>
            <w:webHidden/>
          </w:rPr>
          <w:fldChar w:fldCharType="separate"/>
        </w:r>
        <w:r w:rsidR="00226A6D">
          <w:rPr>
            <w:smallCaps w:val="0"/>
            <w:webHidden/>
          </w:rPr>
          <w:t>13</w:t>
        </w:r>
        <w:r w:rsidR="00847C3B" w:rsidRPr="00DF55BC">
          <w:rPr>
            <w:smallCaps w:val="0"/>
            <w:webHidden/>
          </w:rPr>
          <w:fldChar w:fldCharType="end"/>
        </w:r>
      </w:hyperlink>
    </w:p>
    <w:p w:rsidR="00CC7072" w:rsidRPr="00DF55BC" w:rsidRDefault="00CC7072" w:rsidP="0076138F">
      <w:pPr>
        <w:pStyle w:val="Sumrio2"/>
        <w:rPr>
          <w:smallCaps w:val="0"/>
        </w:rPr>
      </w:pPr>
    </w:p>
    <w:p w:rsidR="00CC7072" w:rsidRPr="005C1F8A" w:rsidRDefault="00EB476B" w:rsidP="005C1F8A">
      <w:pPr>
        <w:pStyle w:val="Sumrio1"/>
      </w:pPr>
      <w:hyperlink w:anchor="_Toc184817253" w:history="1">
        <w:r w:rsidR="00742A4A" w:rsidRPr="005C1F8A">
          <w:rPr>
            <w:rStyle w:val="Hyperlink"/>
            <w:color w:val="auto"/>
          </w:rPr>
          <w:t>5.</w:t>
        </w:r>
        <w:r w:rsidR="00CC7072" w:rsidRPr="005C1F8A">
          <w:tab/>
        </w:r>
        <w:r w:rsidR="00742A4A" w:rsidRPr="005C1F8A">
          <w:t xml:space="preserve">METAS E </w:t>
        </w:r>
        <w:r w:rsidR="00CC7072" w:rsidRPr="005C1F8A">
          <w:rPr>
            <w:rStyle w:val="Hyperlink"/>
            <w:color w:val="auto"/>
          </w:rPr>
          <w:t>Diretrizes para a Alocação de Recursos</w:t>
        </w:r>
        <w:r w:rsidR="00CC7072" w:rsidRPr="005C1F8A">
          <w:rPr>
            <w:webHidden/>
          </w:rPr>
          <w:tab/>
        </w:r>
        <w:r w:rsidR="00847C3B" w:rsidRPr="005C1F8A">
          <w:rPr>
            <w:webHidden/>
          </w:rPr>
          <w:fldChar w:fldCharType="begin"/>
        </w:r>
        <w:r w:rsidR="00CC7072" w:rsidRPr="005C1F8A">
          <w:rPr>
            <w:webHidden/>
          </w:rPr>
          <w:instrText xml:space="preserve"> PAGEREF _Toc184817253 \h </w:instrText>
        </w:r>
        <w:r w:rsidR="00847C3B" w:rsidRPr="005C1F8A">
          <w:rPr>
            <w:webHidden/>
          </w:rPr>
        </w:r>
        <w:r w:rsidR="00847C3B" w:rsidRPr="005C1F8A">
          <w:rPr>
            <w:webHidden/>
          </w:rPr>
          <w:fldChar w:fldCharType="separate"/>
        </w:r>
        <w:r w:rsidR="00226A6D">
          <w:rPr>
            <w:webHidden/>
          </w:rPr>
          <w:t>15</w:t>
        </w:r>
        <w:r w:rsidR="00847C3B" w:rsidRPr="005C1F8A">
          <w:rPr>
            <w:webHidden/>
          </w:rPr>
          <w:fldChar w:fldCharType="end"/>
        </w:r>
      </w:hyperlink>
    </w:p>
    <w:p w:rsidR="00742A4A" w:rsidRPr="00DF55BC" w:rsidRDefault="00EB476B" w:rsidP="0076138F">
      <w:pPr>
        <w:pStyle w:val="Sumrio2"/>
        <w:rPr>
          <w:smallCaps w:val="0"/>
        </w:rPr>
      </w:pPr>
      <w:hyperlink w:anchor="_Toc184817249" w:history="1">
        <w:r w:rsidR="00742A4A" w:rsidRPr="00DF55BC">
          <w:rPr>
            <w:rStyle w:val="Hyperlink"/>
            <w:smallCaps w:val="0"/>
            <w:color w:val="auto"/>
          </w:rPr>
          <w:t>5.1</w:t>
        </w:r>
        <w:r w:rsidR="00CB7916" w:rsidRPr="00DF55BC">
          <w:rPr>
            <w:rStyle w:val="Hyperlink"/>
            <w:smallCaps w:val="0"/>
            <w:color w:val="auto"/>
          </w:rPr>
          <w:t>.</w:t>
        </w:r>
        <w:r w:rsidR="00742A4A" w:rsidRPr="00DF55BC">
          <w:rPr>
            <w:smallCaps w:val="0"/>
          </w:rPr>
          <w:tab/>
        </w:r>
        <w:r w:rsidR="00742A4A" w:rsidRPr="00DF55BC">
          <w:rPr>
            <w:rStyle w:val="Hyperlink"/>
            <w:smallCaps w:val="0"/>
            <w:color w:val="auto"/>
          </w:rPr>
          <w:t>Meta Atuaria</w:t>
        </w:r>
        <w:r w:rsidR="00720C50" w:rsidRPr="00DF55BC">
          <w:rPr>
            <w:rStyle w:val="Hyperlink"/>
            <w:smallCaps w:val="0"/>
            <w:color w:val="auto"/>
          </w:rPr>
          <w:t>l da Carteira de Investimentos</w:t>
        </w:r>
        <w:r w:rsidR="00742A4A" w:rsidRPr="00DF55BC">
          <w:rPr>
            <w:smallCaps w:val="0"/>
            <w:webHidden/>
          </w:rPr>
          <w:tab/>
        </w:r>
        <w:r w:rsidR="00453979" w:rsidRPr="00DF55BC">
          <w:rPr>
            <w:smallCaps w:val="0"/>
            <w:webHidden/>
          </w:rPr>
          <w:t>1</w:t>
        </w:r>
      </w:hyperlink>
      <w:r w:rsidR="00187567" w:rsidRPr="00DF55BC">
        <w:rPr>
          <w:rStyle w:val="Hyperlink"/>
          <w:smallCaps w:val="0"/>
          <w:color w:val="auto"/>
          <w:u w:val="none"/>
        </w:rPr>
        <w:t>5</w:t>
      </w:r>
    </w:p>
    <w:p w:rsidR="00CF76F9" w:rsidRPr="00DF55BC" w:rsidRDefault="00EB476B" w:rsidP="0076138F">
      <w:pPr>
        <w:pStyle w:val="Sumrio2"/>
        <w:rPr>
          <w:rStyle w:val="Hyperlink"/>
          <w:smallCaps w:val="0"/>
          <w:color w:val="auto"/>
          <w:u w:val="none"/>
        </w:rPr>
      </w:pPr>
      <w:hyperlink w:anchor="_Toc184817249" w:history="1">
        <w:r w:rsidR="00742A4A" w:rsidRPr="00DF55BC">
          <w:rPr>
            <w:rStyle w:val="Hyperlink"/>
            <w:smallCaps w:val="0"/>
          </w:rPr>
          <w:t>5.2</w:t>
        </w:r>
        <w:r w:rsidR="00CB7916" w:rsidRPr="00DF55BC">
          <w:rPr>
            <w:rStyle w:val="Hyperlink"/>
            <w:smallCaps w:val="0"/>
          </w:rPr>
          <w:t>.</w:t>
        </w:r>
        <w:r w:rsidR="00742A4A" w:rsidRPr="00DF55BC">
          <w:rPr>
            <w:smallCaps w:val="0"/>
          </w:rPr>
          <w:tab/>
          <w:t>Meta Gerencia</w:t>
        </w:r>
        <w:r w:rsidR="00720C50" w:rsidRPr="00DF55BC">
          <w:rPr>
            <w:smallCaps w:val="0"/>
          </w:rPr>
          <w:t>l da Carteira de Investimentos</w:t>
        </w:r>
        <w:r w:rsidR="00742A4A" w:rsidRPr="00DF55BC">
          <w:rPr>
            <w:smallCaps w:val="0"/>
            <w:webHidden/>
          </w:rPr>
          <w:tab/>
          <w:t>1</w:t>
        </w:r>
      </w:hyperlink>
      <w:r w:rsidR="00B655B6">
        <w:t>6</w:t>
      </w:r>
    </w:p>
    <w:p w:rsidR="0090499A" w:rsidRPr="00DF55BC" w:rsidRDefault="0090499A" w:rsidP="005C1F8A">
      <w:pPr>
        <w:tabs>
          <w:tab w:val="left" w:pos="993"/>
        </w:tabs>
        <w:ind w:firstLine="567"/>
        <w:rPr>
          <w:rFonts w:ascii="Arial" w:hAnsi="Arial" w:cs="Arial"/>
          <w:sz w:val="20"/>
          <w:szCs w:val="20"/>
        </w:rPr>
      </w:pPr>
      <w:r w:rsidRPr="00DF55BC">
        <w:rPr>
          <w:rFonts w:ascii="Arial" w:hAnsi="Arial" w:cs="Arial"/>
          <w:sz w:val="20"/>
          <w:szCs w:val="20"/>
        </w:rPr>
        <w:t>5.3.</w:t>
      </w:r>
      <w:r w:rsidR="00EF015F">
        <w:rPr>
          <w:rFonts w:ascii="Arial" w:hAnsi="Arial" w:cs="Arial"/>
          <w:sz w:val="20"/>
          <w:szCs w:val="20"/>
        </w:rPr>
        <w:t xml:space="preserve"> </w:t>
      </w:r>
      <w:r w:rsidRPr="00DF55BC">
        <w:rPr>
          <w:rFonts w:ascii="Arial" w:hAnsi="Arial" w:cs="Arial"/>
          <w:sz w:val="20"/>
          <w:szCs w:val="20"/>
        </w:rPr>
        <w:t>M</w:t>
      </w:r>
      <w:r w:rsidR="00DF55BC" w:rsidRPr="00DF55BC">
        <w:rPr>
          <w:rFonts w:ascii="Arial" w:hAnsi="Arial" w:cs="Arial"/>
          <w:sz w:val="20"/>
          <w:szCs w:val="20"/>
        </w:rPr>
        <w:t>eta do</w:t>
      </w:r>
      <w:r w:rsidRPr="00DF55BC">
        <w:rPr>
          <w:rFonts w:ascii="Arial" w:hAnsi="Arial" w:cs="Arial"/>
          <w:sz w:val="20"/>
          <w:szCs w:val="20"/>
        </w:rPr>
        <w:t xml:space="preserve"> Segmento de Renda Fixa...................................</w:t>
      </w:r>
      <w:r w:rsidR="00DF55BC" w:rsidRPr="00DF55BC">
        <w:rPr>
          <w:rFonts w:ascii="Arial" w:hAnsi="Arial" w:cs="Arial"/>
          <w:sz w:val="20"/>
          <w:szCs w:val="20"/>
        </w:rPr>
        <w:t>.......................</w:t>
      </w:r>
      <w:r w:rsidR="00AC5D48">
        <w:rPr>
          <w:rFonts w:ascii="Arial" w:hAnsi="Arial" w:cs="Arial"/>
          <w:sz w:val="20"/>
          <w:szCs w:val="20"/>
        </w:rPr>
        <w:t>.....</w:t>
      </w:r>
      <w:r w:rsidR="00DF55BC" w:rsidRPr="00DF55BC">
        <w:rPr>
          <w:rFonts w:ascii="Arial" w:hAnsi="Arial" w:cs="Arial"/>
          <w:sz w:val="20"/>
          <w:szCs w:val="20"/>
        </w:rPr>
        <w:t>.</w:t>
      </w:r>
      <w:r w:rsidR="00DF55BC">
        <w:rPr>
          <w:rFonts w:ascii="Arial" w:hAnsi="Arial" w:cs="Arial"/>
          <w:sz w:val="20"/>
          <w:szCs w:val="20"/>
        </w:rPr>
        <w:t>................</w:t>
      </w:r>
      <w:r w:rsidR="00EF015F">
        <w:rPr>
          <w:rFonts w:ascii="Arial" w:hAnsi="Arial" w:cs="Arial"/>
          <w:sz w:val="20"/>
          <w:szCs w:val="20"/>
        </w:rPr>
        <w:t>..</w:t>
      </w:r>
      <w:r w:rsidRPr="00DF55BC">
        <w:rPr>
          <w:rFonts w:ascii="Arial" w:hAnsi="Arial" w:cs="Arial"/>
          <w:sz w:val="20"/>
          <w:szCs w:val="20"/>
        </w:rPr>
        <w:t>1</w:t>
      </w:r>
      <w:r w:rsidR="00B655B6">
        <w:rPr>
          <w:rFonts w:ascii="Arial" w:hAnsi="Arial" w:cs="Arial"/>
          <w:sz w:val="20"/>
          <w:szCs w:val="20"/>
        </w:rPr>
        <w:t>6</w:t>
      </w:r>
    </w:p>
    <w:p w:rsidR="00742A4A" w:rsidRPr="00DF55BC" w:rsidRDefault="00EB476B" w:rsidP="0076138F">
      <w:pPr>
        <w:pStyle w:val="Sumrio2"/>
        <w:rPr>
          <w:smallCaps w:val="0"/>
        </w:rPr>
      </w:pPr>
      <w:hyperlink w:anchor="_Toc184817249" w:history="1">
        <w:r w:rsidR="00742A4A" w:rsidRPr="00DF55BC">
          <w:rPr>
            <w:rStyle w:val="Hyperlink"/>
            <w:smallCaps w:val="0"/>
          </w:rPr>
          <w:t>5.4</w:t>
        </w:r>
        <w:r w:rsidR="00CB7916" w:rsidRPr="00DF55BC">
          <w:rPr>
            <w:rStyle w:val="Hyperlink"/>
            <w:smallCaps w:val="0"/>
          </w:rPr>
          <w:t>.</w:t>
        </w:r>
        <w:r w:rsidR="00742A4A" w:rsidRPr="00DF55BC">
          <w:rPr>
            <w:smallCaps w:val="0"/>
          </w:rPr>
          <w:tab/>
        </w:r>
        <w:r w:rsidR="00720C50" w:rsidRPr="00DF55BC">
          <w:rPr>
            <w:smallCaps w:val="0"/>
          </w:rPr>
          <w:t xml:space="preserve">Meta do </w:t>
        </w:r>
        <w:r w:rsidR="00742A4A" w:rsidRPr="00DF55BC">
          <w:rPr>
            <w:rStyle w:val="Hyperlink"/>
            <w:smallCaps w:val="0"/>
          </w:rPr>
          <w:t>Segmento de Renda Variável</w:t>
        </w:r>
        <w:r w:rsidR="00742A4A" w:rsidRPr="00DF55BC">
          <w:rPr>
            <w:smallCaps w:val="0"/>
            <w:webHidden/>
          </w:rPr>
          <w:tab/>
        </w:r>
        <w:r w:rsidR="00453979" w:rsidRPr="00DF55BC">
          <w:rPr>
            <w:smallCaps w:val="0"/>
            <w:webHidden/>
          </w:rPr>
          <w:t>1</w:t>
        </w:r>
        <w:r w:rsidR="00BF74A4" w:rsidRPr="00DF55BC">
          <w:rPr>
            <w:smallCaps w:val="0"/>
            <w:webHidden/>
          </w:rPr>
          <w:t>6</w:t>
        </w:r>
      </w:hyperlink>
    </w:p>
    <w:p w:rsidR="00742A4A" w:rsidRPr="00DF55BC" w:rsidRDefault="00EB476B" w:rsidP="0076138F">
      <w:pPr>
        <w:pStyle w:val="Sumrio2"/>
        <w:rPr>
          <w:smallCaps w:val="0"/>
        </w:rPr>
      </w:pPr>
      <w:hyperlink w:anchor="_Toc184817249" w:history="1">
        <w:r w:rsidR="00742A4A" w:rsidRPr="00DF55BC">
          <w:rPr>
            <w:rStyle w:val="Hyperlink"/>
            <w:smallCaps w:val="0"/>
          </w:rPr>
          <w:t>5.5</w:t>
        </w:r>
        <w:r w:rsidR="00CB7916" w:rsidRPr="00DF55BC">
          <w:rPr>
            <w:rStyle w:val="Hyperlink"/>
            <w:smallCaps w:val="0"/>
          </w:rPr>
          <w:t>.</w:t>
        </w:r>
        <w:r w:rsidR="00742A4A" w:rsidRPr="00DF55BC">
          <w:rPr>
            <w:smallCaps w:val="0"/>
          </w:rPr>
          <w:tab/>
        </w:r>
        <w:r w:rsidR="00742A4A" w:rsidRPr="00DF55BC">
          <w:rPr>
            <w:rStyle w:val="Hyperlink"/>
            <w:smallCaps w:val="0"/>
          </w:rPr>
          <w:t>Segmento de Imóveis</w:t>
        </w:r>
        <w:r w:rsidR="00742A4A" w:rsidRPr="00DF55BC">
          <w:rPr>
            <w:smallCaps w:val="0"/>
            <w:webHidden/>
          </w:rPr>
          <w:tab/>
        </w:r>
        <w:r w:rsidR="00453979" w:rsidRPr="00DF55BC">
          <w:rPr>
            <w:smallCaps w:val="0"/>
            <w:webHidden/>
          </w:rPr>
          <w:t>1</w:t>
        </w:r>
        <w:r w:rsidR="00BF74A4" w:rsidRPr="00DF55BC">
          <w:rPr>
            <w:smallCaps w:val="0"/>
            <w:webHidden/>
          </w:rPr>
          <w:t>6</w:t>
        </w:r>
      </w:hyperlink>
    </w:p>
    <w:p w:rsidR="00582C00" w:rsidRPr="00DF55BC" w:rsidRDefault="00EB476B" w:rsidP="005C1F8A">
      <w:pPr>
        <w:pStyle w:val="Sumrio1"/>
      </w:pPr>
      <w:hyperlink w:anchor="_Toc184817253" w:history="1">
        <w:r w:rsidR="00582C00" w:rsidRPr="00DF55BC">
          <w:rPr>
            <w:rStyle w:val="Hyperlink"/>
            <w:caps w:val="0"/>
          </w:rPr>
          <w:t>6.</w:t>
        </w:r>
        <w:r w:rsidR="00582C00" w:rsidRPr="00DF55BC">
          <w:tab/>
          <w:t>DIRETRIZES DE APLICAÇÃO</w:t>
        </w:r>
        <w:r w:rsidR="00582C00" w:rsidRPr="00DF55BC">
          <w:rPr>
            <w:webHidden/>
          </w:rPr>
          <w:tab/>
          <w:t>1</w:t>
        </w:r>
        <w:r w:rsidR="00BF74A4" w:rsidRPr="00DF55BC">
          <w:rPr>
            <w:webHidden/>
          </w:rPr>
          <w:t>6</w:t>
        </w:r>
      </w:hyperlink>
    </w:p>
    <w:p w:rsidR="00582C00" w:rsidRPr="00DF55BC" w:rsidRDefault="00EB476B" w:rsidP="0076138F">
      <w:pPr>
        <w:pStyle w:val="Sumrio2"/>
        <w:rPr>
          <w:smallCaps w:val="0"/>
        </w:rPr>
      </w:pPr>
      <w:hyperlink w:anchor="_Toc184817249" w:history="1">
        <w:r w:rsidR="00582C00" w:rsidRPr="00DF55BC">
          <w:rPr>
            <w:rStyle w:val="Hyperlink"/>
            <w:smallCaps w:val="0"/>
          </w:rPr>
          <w:t>6.1</w:t>
        </w:r>
        <w:r w:rsidR="00CB7916" w:rsidRPr="00DF55BC">
          <w:rPr>
            <w:rStyle w:val="Hyperlink"/>
            <w:smallCaps w:val="0"/>
          </w:rPr>
          <w:t>.</w:t>
        </w:r>
        <w:r w:rsidR="00582C00" w:rsidRPr="00DF55BC">
          <w:rPr>
            <w:smallCaps w:val="0"/>
          </w:rPr>
          <w:tab/>
        </w:r>
        <w:r w:rsidR="00453979" w:rsidRPr="00DF55BC">
          <w:rPr>
            <w:rStyle w:val="Hyperlink"/>
            <w:smallCaps w:val="0"/>
          </w:rPr>
          <w:t>Retrospectiva de 201</w:t>
        </w:r>
        <w:r w:rsidR="00C77010">
          <w:rPr>
            <w:rStyle w:val="Hyperlink"/>
            <w:smallCaps w:val="0"/>
          </w:rPr>
          <w:t>4</w:t>
        </w:r>
        <w:r w:rsidR="00582C00" w:rsidRPr="00DF55BC">
          <w:rPr>
            <w:smallCaps w:val="0"/>
            <w:webHidden/>
          </w:rPr>
          <w:tab/>
          <w:t>1</w:t>
        </w:r>
        <w:r w:rsidR="00BF74A4" w:rsidRPr="00DF55BC">
          <w:rPr>
            <w:smallCaps w:val="0"/>
            <w:webHidden/>
          </w:rPr>
          <w:t>6</w:t>
        </w:r>
      </w:hyperlink>
    </w:p>
    <w:p w:rsidR="0074468D" w:rsidRPr="00DF55BC" w:rsidRDefault="00EB476B" w:rsidP="0076138F">
      <w:pPr>
        <w:pStyle w:val="Sumrio2"/>
        <w:rPr>
          <w:smallCaps w:val="0"/>
        </w:rPr>
      </w:pPr>
      <w:hyperlink w:anchor="_Toc184817249" w:history="1">
        <w:r w:rsidR="0074468D" w:rsidRPr="00DF55BC">
          <w:rPr>
            <w:rStyle w:val="Hyperlink"/>
            <w:smallCaps w:val="0"/>
          </w:rPr>
          <w:t>6.2</w:t>
        </w:r>
        <w:r w:rsidR="00CB7916" w:rsidRPr="00DF55BC">
          <w:rPr>
            <w:rStyle w:val="Hyperlink"/>
            <w:smallCaps w:val="0"/>
          </w:rPr>
          <w:t>.</w:t>
        </w:r>
        <w:r w:rsidR="0074468D" w:rsidRPr="00DF55BC">
          <w:rPr>
            <w:smallCaps w:val="0"/>
          </w:rPr>
          <w:tab/>
        </w:r>
        <w:r w:rsidR="00453979" w:rsidRPr="00DF55BC">
          <w:rPr>
            <w:bCs/>
            <w:smallCaps w:val="0"/>
          </w:rPr>
          <w:t>Perspectivas para 201</w:t>
        </w:r>
        <w:r w:rsidR="00C77010">
          <w:rPr>
            <w:bCs/>
            <w:smallCaps w:val="0"/>
          </w:rPr>
          <w:t>5</w:t>
        </w:r>
        <w:r w:rsidR="0074468D" w:rsidRPr="00DF55BC">
          <w:rPr>
            <w:smallCaps w:val="0"/>
            <w:webHidden/>
          </w:rPr>
          <w:tab/>
        </w:r>
        <w:r w:rsidR="005F0736" w:rsidRPr="00DF55BC">
          <w:rPr>
            <w:smallCaps w:val="0"/>
            <w:webHidden/>
          </w:rPr>
          <w:t>1</w:t>
        </w:r>
        <w:r w:rsidR="00BF74A4" w:rsidRPr="00DF55BC">
          <w:rPr>
            <w:smallCaps w:val="0"/>
            <w:webHidden/>
          </w:rPr>
          <w:t>7</w:t>
        </w:r>
      </w:hyperlink>
    </w:p>
    <w:p w:rsidR="00720C50" w:rsidRPr="00DF55BC" w:rsidRDefault="00EB476B" w:rsidP="0076138F">
      <w:pPr>
        <w:pStyle w:val="Sumrio2"/>
        <w:rPr>
          <w:smallCaps w:val="0"/>
        </w:rPr>
      </w:pPr>
      <w:hyperlink w:anchor="_Toc184817249" w:history="1">
        <w:r w:rsidR="00720C50" w:rsidRPr="00DF55BC">
          <w:rPr>
            <w:rStyle w:val="Hyperlink"/>
            <w:smallCaps w:val="0"/>
          </w:rPr>
          <w:t>6.3.</w:t>
        </w:r>
        <w:r w:rsidR="00720C50" w:rsidRPr="00DF55BC">
          <w:rPr>
            <w:smallCaps w:val="0"/>
          </w:rPr>
          <w:tab/>
        </w:r>
        <w:r w:rsidR="00720C50" w:rsidRPr="00DF55BC">
          <w:rPr>
            <w:rStyle w:val="Hyperlink"/>
            <w:smallCaps w:val="0"/>
          </w:rPr>
          <w:t>Comportamento da Carteira de Investimentos</w:t>
        </w:r>
        <w:r w:rsidR="00720C50" w:rsidRPr="00DF55BC">
          <w:rPr>
            <w:smallCaps w:val="0"/>
            <w:webHidden/>
          </w:rPr>
          <w:tab/>
        </w:r>
      </w:hyperlink>
      <w:r w:rsidR="00B655B6">
        <w:t>20</w:t>
      </w:r>
    </w:p>
    <w:p w:rsidR="00720C50" w:rsidRPr="00DF55BC" w:rsidRDefault="00EB476B" w:rsidP="0076138F">
      <w:pPr>
        <w:pStyle w:val="Sumrio2"/>
        <w:rPr>
          <w:rStyle w:val="Hyperlink"/>
          <w:b/>
          <w:smallCaps w:val="0"/>
        </w:rPr>
      </w:pPr>
      <w:hyperlink w:anchor="_Toc184817249" w:history="1">
        <w:r w:rsidR="00720C50" w:rsidRPr="00DF55BC">
          <w:rPr>
            <w:rStyle w:val="Hyperlink"/>
            <w:smallCaps w:val="0"/>
          </w:rPr>
          <w:t>6.4.</w:t>
        </w:r>
        <w:r w:rsidR="00720C50" w:rsidRPr="00DF55BC">
          <w:rPr>
            <w:smallCaps w:val="0"/>
          </w:rPr>
          <w:tab/>
        </w:r>
        <w:r w:rsidR="00720C50" w:rsidRPr="00DF55BC">
          <w:rPr>
            <w:rStyle w:val="Hyperlink"/>
            <w:smallCaps w:val="0"/>
          </w:rPr>
          <w:t>Inflação e Taxa de Juros</w:t>
        </w:r>
        <w:r w:rsidR="00720C50" w:rsidRPr="00DF55BC">
          <w:rPr>
            <w:smallCaps w:val="0"/>
            <w:webHidden/>
          </w:rPr>
          <w:tab/>
        </w:r>
      </w:hyperlink>
      <w:r w:rsidR="00B655B6">
        <w:t>20</w:t>
      </w:r>
    </w:p>
    <w:p w:rsidR="0074468D" w:rsidRPr="00DF55BC" w:rsidRDefault="00EB476B" w:rsidP="0076138F">
      <w:pPr>
        <w:pStyle w:val="Sumrio2"/>
        <w:rPr>
          <w:smallCaps w:val="0"/>
        </w:rPr>
      </w:pPr>
      <w:hyperlink w:anchor="_Toc184817249" w:history="1">
        <w:r w:rsidR="0074468D" w:rsidRPr="00DF55BC">
          <w:rPr>
            <w:rStyle w:val="Hyperlink"/>
            <w:smallCaps w:val="0"/>
          </w:rPr>
          <w:t>6.</w:t>
        </w:r>
        <w:r w:rsidR="00720C50" w:rsidRPr="00DF55BC">
          <w:rPr>
            <w:rStyle w:val="Hyperlink"/>
            <w:smallCaps w:val="0"/>
          </w:rPr>
          <w:t>5</w:t>
        </w:r>
        <w:r w:rsidR="00CB7916" w:rsidRPr="00DF55BC">
          <w:rPr>
            <w:rStyle w:val="Hyperlink"/>
            <w:smallCaps w:val="0"/>
          </w:rPr>
          <w:t>.</w:t>
        </w:r>
        <w:r w:rsidR="0074468D" w:rsidRPr="00DF55BC">
          <w:rPr>
            <w:smallCaps w:val="0"/>
          </w:rPr>
          <w:tab/>
        </w:r>
        <w:r w:rsidR="0074468D" w:rsidRPr="00DF55BC">
          <w:rPr>
            <w:rStyle w:val="Hyperlink"/>
            <w:smallCaps w:val="0"/>
          </w:rPr>
          <w:t>Controles Internos</w:t>
        </w:r>
        <w:r w:rsidR="0074468D" w:rsidRPr="00DF55BC">
          <w:rPr>
            <w:smallCaps w:val="0"/>
            <w:webHidden/>
          </w:rPr>
          <w:tab/>
        </w:r>
        <w:r w:rsidR="000B212C" w:rsidRPr="00DF55BC">
          <w:rPr>
            <w:smallCaps w:val="0"/>
            <w:webHidden/>
          </w:rPr>
          <w:t>2</w:t>
        </w:r>
      </w:hyperlink>
      <w:r w:rsidR="00B655B6">
        <w:t>1</w:t>
      </w:r>
    </w:p>
    <w:p w:rsidR="0074468D" w:rsidRPr="00DF55BC" w:rsidRDefault="00EB476B" w:rsidP="0076138F">
      <w:pPr>
        <w:pStyle w:val="Sumrio2"/>
        <w:rPr>
          <w:smallCaps w:val="0"/>
        </w:rPr>
      </w:pPr>
      <w:hyperlink w:anchor="_Toc184817249" w:history="1">
        <w:r w:rsidR="0074468D" w:rsidRPr="00DF55BC">
          <w:rPr>
            <w:rStyle w:val="Hyperlink"/>
            <w:smallCaps w:val="0"/>
          </w:rPr>
          <w:t>6.</w:t>
        </w:r>
        <w:r w:rsidR="00720C50" w:rsidRPr="00DF55BC">
          <w:rPr>
            <w:rStyle w:val="Hyperlink"/>
            <w:smallCaps w:val="0"/>
          </w:rPr>
          <w:t>6</w:t>
        </w:r>
        <w:r w:rsidR="00CB7916" w:rsidRPr="00DF55BC">
          <w:rPr>
            <w:rStyle w:val="Hyperlink"/>
            <w:smallCaps w:val="0"/>
          </w:rPr>
          <w:t>.</w:t>
        </w:r>
        <w:r w:rsidR="0074468D" w:rsidRPr="00DF55BC">
          <w:rPr>
            <w:smallCaps w:val="0"/>
          </w:rPr>
          <w:tab/>
        </w:r>
        <w:r w:rsidR="0074468D" w:rsidRPr="00DF55BC">
          <w:rPr>
            <w:rStyle w:val="Hyperlink"/>
            <w:smallCaps w:val="0"/>
          </w:rPr>
          <w:t>Controles de Risco de Mercado</w:t>
        </w:r>
        <w:r w:rsidR="0074468D" w:rsidRPr="00DF55BC">
          <w:rPr>
            <w:smallCaps w:val="0"/>
            <w:webHidden/>
          </w:rPr>
          <w:tab/>
        </w:r>
        <w:r w:rsidR="000B212C" w:rsidRPr="00DF55BC">
          <w:rPr>
            <w:smallCaps w:val="0"/>
            <w:webHidden/>
          </w:rPr>
          <w:t>2</w:t>
        </w:r>
      </w:hyperlink>
      <w:r w:rsidR="00B655B6">
        <w:t>2</w:t>
      </w:r>
    </w:p>
    <w:p w:rsidR="0074468D" w:rsidRPr="00DF55BC" w:rsidRDefault="00EB476B" w:rsidP="0076138F">
      <w:pPr>
        <w:pStyle w:val="Sumrio2"/>
        <w:rPr>
          <w:smallCaps w:val="0"/>
        </w:rPr>
      </w:pPr>
      <w:hyperlink w:anchor="_Toc184817249" w:history="1">
        <w:r w:rsidR="00B12F06" w:rsidRPr="00DF55BC">
          <w:rPr>
            <w:rStyle w:val="Hyperlink"/>
            <w:smallCaps w:val="0"/>
          </w:rPr>
          <w:t>6</w:t>
        </w:r>
        <w:r w:rsidR="0074468D" w:rsidRPr="00DF55BC">
          <w:rPr>
            <w:rStyle w:val="Hyperlink"/>
            <w:smallCaps w:val="0"/>
          </w:rPr>
          <w:t>.</w:t>
        </w:r>
        <w:r w:rsidR="00720C50" w:rsidRPr="00DF55BC">
          <w:rPr>
            <w:rStyle w:val="Hyperlink"/>
            <w:smallCaps w:val="0"/>
          </w:rPr>
          <w:t>7</w:t>
        </w:r>
        <w:r w:rsidR="00CB7916" w:rsidRPr="00DF55BC">
          <w:rPr>
            <w:rStyle w:val="Hyperlink"/>
            <w:smallCaps w:val="0"/>
          </w:rPr>
          <w:t>.</w:t>
        </w:r>
        <w:r w:rsidR="0074468D" w:rsidRPr="00DF55BC">
          <w:rPr>
            <w:smallCaps w:val="0"/>
          </w:rPr>
          <w:tab/>
        </w:r>
        <w:r w:rsidR="00B12F06" w:rsidRPr="00DF55BC">
          <w:rPr>
            <w:rStyle w:val="Hyperlink"/>
            <w:smallCaps w:val="0"/>
          </w:rPr>
          <w:t>Controles de Risco de Crédito</w:t>
        </w:r>
        <w:r w:rsidR="0074468D" w:rsidRPr="00DF55BC">
          <w:rPr>
            <w:smallCaps w:val="0"/>
            <w:webHidden/>
          </w:rPr>
          <w:tab/>
        </w:r>
        <w:r w:rsidR="00BF74A4" w:rsidRPr="00DF55BC">
          <w:rPr>
            <w:smallCaps w:val="0"/>
            <w:webHidden/>
          </w:rPr>
          <w:t>2</w:t>
        </w:r>
      </w:hyperlink>
      <w:r w:rsidR="00B655B6">
        <w:t>2</w:t>
      </w:r>
    </w:p>
    <w:p w:rsidR="00B12F06" w:rsidRPr="005C1F8A" w:rsidRDefault="00EB476B" w:rsidP="005C1F8A">
      <w:pPr>
        <w:pStyle w:val="Sumrio1"/>
        <w:rPr>
          <w:rStyle w:val="Hyperlink"/>
          <w:color w:val="auto"/>
        </w:rPr>
      </w:pPr>
      <w:hyperlink w:anchor="_Toc184817260" w:history="1">
        <w:r w:rsidR="00B12F06" w:rsidRPr="005C1F8A">
          <w:rPr>
            <w:rStyle w:val="Hyperlink"/>
            <w:color w:val="auto"/>
          </w:rPr>
          <w:t>7.</w:t>
        </w:r>
        <w:r w:rsidR="00B12F06" w:rsidRPr="005C1F8A">
          <w:tab/>
        </w:r>
        <w:r w:rsidR="00B12F06" w:rsidRPr="005C1F8A">
          <w:rPr>
            <w:rStyle w:val="Hyperlink"/>
            <w:color w:val="auto"/>
          </w:rPr>
          <w:t>Sistema Especial de Liquidação e de Custódia (SELIC)</w:t>
        </w:r>
        <w:r w:rsidR="00B12F06" w:rsidRPr="005C1F8A">
          <w:rPr>
            <w:webHidden/>
          </w:rPr>
          <w:tab/>
        </w:r>
        <w:r w:rsidR="00847C3B" w:rsidRPr="005C1F8A">
          <w:rPr>
            <w:webHidden/>
          </w:rPr>
          <w:fldChar w:fldCharType="begin"/>
        </w:r>
        <w:r w:rsidR="00B12F06" w:rsidRPr="005C1F8A">
          <w:rPr>
            <w:webHidden/>
          </w:rPr>
          <w:instrText xml:space="preserve"> PAGEREF _Toc184817260 \h </w:instrText>
        </w:r>
        <w:r w:rsidR="00847C3B" w:rsidRPr="005C1F8A">
          <w:rPr>
            <w:webHidden/>
          </w:rPr>
        </w:r>
        <w:r w:rsidR="00847C3B" w:rsidRPr="005C1F8A">
          <w:rPr>
            <w:webHidden/>
          </w:rPr>
          <w:fldChar w:fldCharType="separate"/>
        </w:r>
        <w:r w:rsidR="00226A6D">
          <w:rPr>
            <w:webHidden/>
          </w:rPr>
          <w:t>23</w:t>
        </w:r>
        <w:r w:rsidR="00847C3B" w:rsidRPr="005C1F8A">
          <w:rPr>
            <w:webHidden/>
          </w:rPr>
          <w:fldChar w:fldCharType="end"/>
        </w:r>
      </w:hyperlink>
    </w:p>
    <w:p w:rsidR="00CC7072" w:rsidRPr="005C1F8A" w:rsidRDefault="00EB476B" w:rsidP="005C1F8A">
      <w:pPr>
        <w:pStyle w:val="Sumrio1"/>
      </w:pPr>
      <w:hyperlink w:anchor="_Toc184817260" w:history="1">
        <w:r w:rsidR="00D5336B" w:rsidRPr="005C1F8A">
          <w:rPr>
            <w:rStyle w:val="Hyperlink"/>
          </w:rPr>
          <w:t>8</w:t>
        </w:r>
        <w:r w:rsidR="00B12F06" w:rsidRPr="005C1F8A">
          <w:rPr>
            <w:rStyle w:val="Hyperlink"/>
          </w:rPr>
          <w:t>.</w:t>
        </w:r>
        <w:r w:rsidR="00CC7072" w:rsidRPr="005C1F8A">
          <w:tab/>
        </w:r>
        <w:r w:rsidR="00C675E5" w:rsidRPr="005C1F8A">
          <w:rPr>
            <w:rStyle w:val="Hyperlink"/>
          </w:rPr>
          <w:t>DISPOSIÇÕES GERAIS</w:t>
        </w:r>
        <w:r w:rsidR="00CC7072" w:rsidRPr="005C1F8A">
          <w:rPr>
            <w:webHidden/>
          </w:rPr>
          <w:tab/>
        </w:r>
        <w:r w:rsidR="00530A93" w:rsidRPr="005C1F8A">
          <w:rPr>
            <w:webHidden/>
          </w:rPr>
          <w:t>2</w:t>
        </w:r>
      </w:hyperlink>
      <w:r w:rsidR="00B655B6">
        <w:t>3</w:t>
      </w:r>
    </w:p>
    <w:p w:rsidR="00B12F06" w:rsidRPr="00530A93" w:rsidRDefault="00847C3B" w:rsidP="005C1F8A">
      <w:pPr>
        <w:pStyle w:val="Sumrio1"/>
      </w:pPr>
      <w:r w:rsidRPr="00530A93">
        <w:fldChar w:fldCharType="end"/>
      </w:r>
    </w:p>
    <w:p w:rsidR="009F5D4B" w:rsidRPr="00CF0E68" w:rsidRDefault="00CD277F" w:rsidP="00C22C25">
      <w:pPr>
        <w:pStyle w:val="Ttulo1"/>
        <w:numPr>
          <w:ilvl w:val="0"/>
          <w:numId w:val="0"/>
        </w:numPr>
        <w:spacing w:before="0" w:after="120"/>
        <w:jc w:val="both"/>
        <w:rPr>
          <w:rFonts w:ascii="Helvetica-Bold" w:hAnsi="Helvetica-Bold" w:cs="Helvetica-Bold"/>
          <w:bCs w:val="0"/>
          <w:sz w:val="24"/>
          <w:szCs w:val="24"/>
        </w:rPr>
      </w:pPr>
      <w:r w:rsidRPr="003944BF">
        <w:rPr>
          <w:sz w:val="22"/>
          <w:szCs w:val="22"/>
        </w:rPr>
        <w:br w:type="page"/>
      </w:r>
      <w:bookmarkStart w:id="0" w:name="_Toc184817246"/>
      <w:r w:rsidR="00C22C25">
        <w:rPr>
          <w:rFonts w:ascii="Helvetica-Bold" w:hAnsi="Helvetica-Bold" w:cs="Helvetica-Bold"/>
          <w:bCs w:val="0"/>
          <w:sz w:val="24"/>
          <w:szCs w:val="24"/>
        </w:rPr>
        <w:lastRenderedPageBreak/>
        <w:t xml:space="preserve">1 - </w:t>
      </w:r>
      <w:r w:rsidR="004C683B" w:rsidRPr="00CF0E68">
        <w:rPr>
          <w:rFonts w:ascii="Helvetica-Bold" w:hAnsi="Helvetica-Bold" w:cs="Helvetica-Bold"/>
          <w:bCs w:val="0"/>
          <w:sz w:val="24"/>
          <w:szCs w:val="24"/>
        </w:rPr>
        <w:t>INTRODUÇÃO</w:t>
      </w:r>
    </w:p>
    <w:p w:rsidR="009F5D4B" w:rsidRPr="00CF0E68" w:rsidRDefault="00C22C25" w:rsidP="00C22C25">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F5D4B" w:rsidRPr="00CF0E68">
        <w:rPr>
          <w:rFonts w:ascii="Arial" w:hAnsi="Arial" w:cs="Arial"/>
          <w:sz w:val="20"/>
          <w:szCs w:val="20"/>
        </w:rPr>
        <w:t xml:space="preserve">A </w:t>
      </w:r>
      <w:r w:rsidR="005444ED" w:rsidRPr="00CF0E68">
        <w:rPr>
          <w:rFonts w:ascii="Arial" w:hAnsi="Arial" w:cs="Arial"/>
          <w:sz w:val="20"/>
          <w:szCs w:val="20"/>
        </w:rPr>
        <w:t>P</w:t>
      </w:r>
      <w:r w:rsidR="009F5D4B" w:rsidRPr="00CF0E68">
        <w:rPr>
          <w:rFonts w:ascii="Arial" w:hAnsi="Arial" w:cs="Arial"/>
          <w:sz w:val="20"/>
          <w:szCs w:val="20"/>
        </w:rPr>
        <w:t xml:space="preserve">olítica de </w:t>
      </w:r>
      <w:r w:rsidR="005444ED" w:rsidRPr="00CF0E68">
        <w:rPr>
          <w:rFonts w:ascii="Arial" w:hAnsi="Arial" w:cs="Arial"/>
          <w:sz w:val="20"/>
          <w:szCs w:val="20"/>
        </w:rPr>
        <w:t>I</w:t>
      </w:r>
      <w:r w:rsidR="009F5D4B" w:rsidRPr="00CF0E68">
        <w:rPr>
          <w:rFonts w:ascii="Arial" w:hAnsi="Arial" w:cs="Arial"/>
          <w:sz w:val="20"/>
          <w:szCs w:val="20"/>
        </w:rPr>
        <w:t xml:space="preserve">nvestimentos da Amapá Previdência - AMPREV tem como objetivo estabelecer as diretrizes </w:t>
      </w:r>
      <w:r w:rsidR="00020371" w:rsidRPr="00CF0E68">
        <w:rPr>
          <w:rFonts w:ascii="Arial" w:hAnsi="Arial" w:cs="Arial"/>
          <w:sz w:val="20"/>
          <w:szCs w:val="20"/>
        </w:rPr>
        <w:t>das</w:t>
      </w:r>
      <w:r w:rsidR="009F5D4B" w:rsidRPr="00CF0E68">
        <w:rPr>
          <w:rFonts w:ascii="Arial" w:hAnsi="Arial" w:cs="Arial"/>
          <w:sz w:val="20"/>
          <w:szCs w:val="20"/>
        </w:rPr>
        <w:t xml:space="preserve"> aplicaç</w:t>
      </w:r>
      <w:r w:rsidR="00020371" w:rsidRPr="00CF0E68">
        <w:rPr>
          <w:rFonts w:ascii="Arial" w:hAnsi="Arial" w:cs="Arial"/>
          <w:sz w:val="20"/>
          <w:szCs w:val="20"/>
        </w:rPr>
        <w:t>ões</w:t>
      </w:r>
      <w:r w:rsidR="009F5D4B" w:rsidRPr="00CF0E68">
        <w:rPr>
          <w:rFonts w:ascii="Arial" w:hAnsi="Arial" w:cs="Arial"/>
          <w:sz w:val="20"/>
          <w:szCs w:val="20"/>
        </w:rPr>
        <w:t xml:space="preserve"> dos recursos garantidores mencionado</w:t>
      </w:r>
      <w:r w:rsidR="00EF254A" w:rsidRPr="00CF0E68">
        <w:rPr>
          <w:rFonts w:ascii="Arial" w:hAnsi="Arial" w:cs="Arial"/>
          <w:sz w:val="20"/>
          <w:szCs w:val="20"/>
        </w:rPr>
        <w:t>s</w:t>
      </w:r>
      <w:r w:rsidR="009F5D4B" w:rsidRPr="00CF0E68">
        <w:rPr>
          <w:rFonts w:ascii="Arial" w:hAnsi="Arial" w:cs="Arial"/>
          <w:sz w:val="20"/>
          <w:szCs w:val="20"/>
        </w:rPr>
        <w:t xml:space="preserve"> no art. 4° da Lei </w:t>
      </w:r>
      <w:r w:rsidR="00EF254A" w:rsidRPr="00CF0E68">
        <w:rPr>
          <w:rFonts w:ascii="Arial" w:hAnsi="Arial" w:cs="Arial"/>
          <w:sz w:val="20"/>
          <w:szCs w:val="20"/>
        </w:rPr>
        <w:t xml:space="preserve">Estadual </w:t>
      </w:r>
      <w:r w:rsidR="009F5D4B" w:rsidRPr="00CF0E68">
        <w:rPr>
          <w:rFonts w:ascii="Arial" w:hAnsi="Arial" w:cs="Arial"/>
          <w:sz w:val="20"/>
          <w:szCs w:val="20"/>
        </w:rPr>
        <w:t>n</w:t>
      </w:r>
      <w:r w:rsidR="00937B76" w:rsidRPr="00CF0E68">
        <w:rPr>
          <w:rFonts w:ascii="Arial" w:hAnsi="Arial" w:cs="Arial"/>
          <w:sz w:val="20"/>
          <w:szCs w:val="20"/>
        </w:rPr>
        <w:t>°</w:t>
      </w:r>
      <w:r w:rsidR="009F5D4B" w:rsidRPr="00CF0E68">
        <w:rPr>
          <w:rFonts w:ascii="Arial" w:hAnsi="Arial" w:cs="Arial"/>
          <w:sz w:val="20"/>
          <w:szCs w:val="20"/>
        </w:rPr>
        <w:t xml:space="preserve"> 915, de 18 de agosto de 2005</w:t>
      </w:r>
      <w:r w:rsidR="00713FD1" w:rsidRPr="00CF0E68">
        <w:rPr>
          <w:rFonts w:ascii="Arial" w:hAnsi="Arial" w:cs="Arial"/>
          <w:sz w:val="20"/>
          <w:szCs w:val="20"/>
        </w:rPr>
        <w:t>, que dispõe sobre o Regime Próprio de Previdência Social do Estado do Amapá e sobre a Entidade de Previdência</w:t>
      </w:r>
      <w:r w:rsidR="009C3163" w:rsidRPr="00CF0E68">
        <w:rPr>
          <w:rFonts w:ascii="Arial" w:hAnsi="Arial" w:cs="Arial"/>
          <w:sz w:val="20"/>
          <w:szCs w:val="20"/>
        </w:rPr>
        <w:t>,</w:t>
      </w:r>
      <w:r w:rsidR="0050329B" w:rsidRPr="00CF0E68">
        <w:rPr>
          <w:rFonts w:ascii="Arial" w:hAnsi="Arial" w:cs="Arial"/>
          <w:sz w:val="20"/>
          <w:szCs w:val="20"/>
        </w:rPr>
        <w:t>conforme definido no</w:t>
      </w:r>
      <w:r w:rsidR="00AB4F14">
        <w:rPr>
          <w:rFonts w:ascii="Arial" w:hAnsi="Arial" w:cs="Arial"/>
          <w:sz w:val="20"/>
          <w:szCs w:val="20"/>
        </w:rPr>
        <w:t>s</w:t>
      </w:r>
      <w:r w:rsidR="0050329B" w:rsidRPr="00CF0E68">
        <w:rPr>
          <w:rFonts w:ascii="Arial" w:hAnsi="Arial" w:cs="Arial"/>
          <w:sz w:val="20"/>
          <w:szCs w:val="20"/>
        </w:rPr>
        <w:t xml:space="preserve"> artigo</w:t>
      </w:r>
      <w:r w:rsidR="0050329B" w:rsidRPr="00AB4F14">
        <w:rPr>
          <w:rFonts w:ascii="Arial" w:hAnsi="Arial" w:cs="Arial"/>
          <w:sz w:val="20"/>
          <w:szCs w:val="20"/>
        </w:rPr>
        <w:t>s</w:t>
      </w:r>
      <w:r w:rsidR="0050329B" w:rsidRPr="00CF0E68">
        <w:rPr>
          <w:rFonts w:ascii="Arial" w:hAnsi="Arial" w:cs="Arial"/>
          <w:sz w:val="20"/>
          <w:szCs w:val="20"/>
        </w:rPr>
        <w:t xml:space="preserve"> 4°e </w:t>
      </w:r>
      <w:r w:rsidR="00FC2E78">
        <w:rPr>
          <w:rFonts w:ascii="Arial" w:hAnsi="Arial" w:cs="Arial"/>
          <w:sz w:val="20"/>
          <w:szCs w:val="20"/>
        </w:rPr>
        <w:t>5</w:t>
      </w:r>
      <w:r w:rsidR="0050329B" w:rsidRPr="00CF0E68">
        <w:rPr>
          <w:rFonts w:ascii="Arial" w:hAnsi="Arial" w:cs="Arial"/>
          <w:sz w:val="20"/>
          <w:szCs w:val="20"/>
        </w:rPr>
        <w:t>°</w:t>
      </w:r>
      <w:r w:rsidR="00C0257D" w:rsidRPr="00CF0E68">
        <w:rPr>
          <w:rFonts w:ascii="Arial" w:hAnsi="Arial" w:cs="Arial"/>
          <w:sz w:val="20"/>
          <w:szCs w:val="20"/>
        </w:rPr>
        <w:t>,</w:t>
      </w:r>
      <w:r w:rsidR="0050329B" w:rsidRPr="00CF0E68">
        <w:rPr>
          <w:rFonts w:ascii="Arial" w:hAnsi="Arial" w:cs="Arial"/>
          <w:sz w:val="20"/>
          <w:szCs w:val="20"/>
        </w:rPr>
        <w:t xml:space="preserve"> da Resolução do Conselho Monetário Nacional n° </w:t>
      </w:r>
      <w:r w:rsidR="00FC2E78">
        <w:rPr>
          <w:rFonts w:ascii="Arial" w:hAnsi="Arial" w:cs="Arial"/>
          <w:sz w:val="20"/>
          <w:szCs w:val="20"/>
        </w:rPr>
        <w:t>3.9</w:t>
      </w:r>
      <w:r w:rsidR="009A4751">
        <w:rPr>
          <w:rFonts w:ascii="Arial" w:hAnsi="Arial" w:cs="Arial"/>
          <w:sz w:val="20"/>
          <w:szCs w:val="20"/>
        </w:rPr>
        <w:t>22</w:t>
      </w:r>
      <w:r w:rsidR="0050329B" w:rsidRPr="00CF0E68">
        <w:rPr>
          <w:rFonts w:ascii="Arial" w:hAnsi="Arial" w:cs="Arial"/>
          <w:sz w:val="20"/>
          <w:szCs w:val="20"/>
        </w:rPr>
        <w:t xml:space="preserve">, de </w:t>
      </w:r>
      <w:r w:rsidR="009A4751">
        <w:rPr>
          <w:rFonts w:ascii="Arial" w:hAnsi="Arial" w:cs="Arial"/>
          <w:sz w:val="20"/>
          <w:szCs w:val="20"/>
        </w:rPr>
        <w:t>25</w:t>
      </w:r>
      <w:r w:rsidR="0050329B" w:rsidRPr="00CF0E68">
        <w:rPr>
          <w:rFonts w:ascii="Arial" w:hAnsi="Arial" w:cs="Arial"/>
          <w:sz w:val="20"/>
          <w:szCs w:val="20"/>
        </w:rPr>
        <w:t xml:space="preserve"> de </w:t>
      </w:r>
      <w:r w:rsidR="009A4751">
        <w:rPr>
          <w:rFonts w:ascii="Arial" w:hAnsi="Arial" w:cs="Arial"/>
          <w:sz w:val="20"/>
          <w:szCs w:val="20"/>
        </w:rPr>
        <w:t>nov</w:t>
      </w:r>
      <w:r w:rsidR="00FC2E78">
        <w:rPr>
          <w:rFonts w:ascii="Arial" w:hAnsi="Arial" w:cs="Arial"/>
          <w:sz w:val="20"/>
          <w:szCs w:val="20"/>
        </w:rPr>
        <w:t>embro</w:t>
      </w:r>
      <w:r w:rsidR="0050329B" w:rsidRPr="00CF0E68">
        <w:rPr>
          <w:rFonts w:ascii="Arial" w:hAnsi="Arial" w:cs="Arial"/>
          <w:sz w:val="20"/>
          <w:szCs w:val="20"/>
        </w:rPr>
        <w:t xml:space="preserve"> de 20</w:t>
      </w:r>
      <w:r w:rsidR="009A4751">
        <w:rPr>
          <w:rFonts w:ascii="Arial" w:hAnsi="Arial" w:cs="Arial"/>
          <w:sz w:val="20"/>
          <w:szCs w:val="20"/>
        </w:rPr>
        <w:t>10</w:t>
      </w:r>
      <w:r w:rsidR="00713FD1" w:rsidRPr="00CF0E68">
        <w:rPr>
          <w:rFonts w:ascii="Arial" w:hAnsi="Arial" w:cs="Arial"/>
          <w:sz w:val="20"/>
          <w:szCs w:val="20"/>
        </w:rPr>
        <w:t>.</w:t>
      </w:r>
    </w:p>
    <w:p w:rsidR="009F5D4B" w:rsidRPr="00CF0E68" w:rsidRDefault="00C22C25" w:rsidP="00C22C25">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F5D4B" w:rsidRPr="00CF0E68">
        <w:rPr>
          <w:rFonts w:ascii="Arial" w:hAnsi="Arial" w:cs="Arial"/>
          <w:sz w:val="20"/>
          <w:szCs w:val="20"/>
        </w:rPr>
        <w:t xml:space="preserve">Os critérios, procedimentos e limites estabelecidos para aplicação dos recursos financeiros administrados pela AMPREV, deverão ser selecionados de acordo com a </w:t>
      </w:r>
      <w:r w:rsidR="0050329B" w:rsidRPr="00CF0E68">
        <w:rPr>
          <w:rFonts w:ascii="Arial" w:hAnsi="Arial" w:cs="Arial"/>
          <w:sz w:val="20"/>
          <w:szCs w:val="20"/>
        </w:rPr>
        <w:t xml:space="preserve">Resolução CMN n° </w:t>
      </w:r>
      <w:r w:rsidR="00FC2E78">
        <w:rPr>
          <w:rFonts w:ascii="Arial" w:hAnsi="Arial" w:cs="Arial"/>
          <w:sz w:val="20"/>
          <w:szCs w:val="20"/>
        </w:rPr>
        <w:t>3.9</w:t>
      </w:r>
      <w:r w:rsidR="009A4751">
        <w:rPr>
          <w:rFonts w:ascii="Arial" w:hAnsi="Arial" w:cs="Arial"/>
          <w:sz w:val="20"/>
          <w:szCs w:val="20"/>
        </w:rPr>
        <w:t>22</w:t>
      </w:r>
      <w:r w:rsidR="0050329B" w:rsidRPr="00CF0E68">
        <w:rPr>
          <w:rFonts w:ascii="Arial" w:hAnsi="Arial" w:cs="Arial"/>
          <w:sz w:val="20"/>
          <w:szCs w:val="20"/>
        </w:rPr>
        <w:t>/20</w:t>
      </w:r>
      <w:r w:rsidR="009A4751">
        <w:rPr>
          <w:rFonts w:ascii="Arial" w:hAnsi="Arial" w:cs="Arial"/>
          <w:sz w:val="20"/>
          <w:szCs w:val="20"/>
        </w:rPr>
        <w:t>10</w:t>
      </w:r>
      <w:r w:rsidR="009F5D4B" w:rsidRPr="00CF0E68">
        <w:rPr>
          <w:rFonts w:ascii="Arial" w:hAnsi="Arial" w:cs="Arial"/>
          <w:sz w:val="20"/>
          <w:szCs w:val="20"/>
        </w:rPr>
        <w:t>, ou a que venha substituí-la, bem como</w:t>
      </w:r>
      <w:r w:rsidR="00895FF5">
        <w:rPr>
          <w:rFonts w:ascii="Arial" w:hAnsi="Arial" w:cs="Arial"/>
          <w:sz w:val="20"/>
          <w:szCs w:val="20"/>
        </w:rPr>
        <w:t xml:space="preserve"> </w:t>
      </w:r>
      <w:r w:rsidR="001A6CF4" w:rsidRPr="00276E57">
        <w:rPr>
          <w:rFonts w:ascii="Arial" w:hAnsi="Arial" w:cs="Arial"/>
          <w:sz w:val="20"/>
          <w:szCs w:val="20"/>
        </w:rPr>
        <w:t>pela</w:t>
      </w:r>
      <w:r w:rsidR="00FD4323" w:rsidRPr="00276E57">
        <w:rPr>
          <w:rFonts w:ascii="Arial" w:hAnsi="Arial" w:cs="Arial"/>
          <w:sz w:val="20"/>
          <w:szCs w:val="20"/>
        </w:rPr>
        <w:t xml:space="preserve"> Portaria MPS nº 519/2011 e suas alterações, devendo ser adequado</w:t>
      </w:r>
      <w:r w:rsidR="009F5D4B" w:rsidRPr="00CF0E68">
        <w:rPr>
          <w:rFonts w:ascii="Arial" w:hAnsi="Arial" w:cs="Arial"/>
          <w:sz w:val="20"/>
          <w:szCs w:val="20"/>
        </w:rPr>
        <w:t xml:space="preserve"> às características do</w:t>
      </w:r>
      <w:r w:rsidR="003D386B">
        <w:rPr>
          <w:rFonts w:ascii="Arial" w:hAnsi="Arial" w:cs="Arial"/>
          <w:sz w:val="20"/>
          <w:szCs w:val="20"/>
        </w:rPr>
        <w:t>s</w:t>
      </w:r>
      <w:r w:rsidR="009F5D4B" w:rsidRPr="00CF0E68">
        <w:rPr>
          <w:rFonts w:ascii="Arial" w:hAnsi="Arial" w:cs="Arial"/>
          <w:sz w:val="20"/>
          <w:szCs w:val="20"/>
        </w:rPr>
        <w:t xml:space="preserve"> plano</w:t>
      </w:r>
      <w:r w:rsidR="003D386B">
        <w:rPr>
          <w:rFonts w:ascii="Arial" w:hAnsi="Arial" w:cs="Arial"/>
          <w:sz w:val="20"/>
          <w:szCs w:val="20"/>
        </w:rPr>
        <w:t>s</w:t>
      </w:r>
      <w:r w:rsidR="006B6EF4" w:rsidRPr="00E27B4E">
        <w:rPr>
          <w:rFonts w:ascii="Arial" w:hAnsi="Arial" w:cs="Arial"/>
          <w:sz w:val="20"/>
          <w:szCs w:val="20"/>
        </w:rPr>
        <w:t xml:space="preserve"> financeiro e previdenciário para </w:t>
      </w:r>
      <w:r w:rsidR="009F5D4B" w:rsidRPr="00E27B4E">
        <w:rPr>
          <w:rFonts w:ascii="Arial" w:hAnsi="Arial" w:cs="Arial"/>
          <w:sz w:val="20"/>
          <w:szCs w:val="20"/>
        </w:rPr>
        <w:t>suas obrigações futuras, bus</w:t>
      </w:r>
      <w:r w:rsidR="009F5D4B" w:rsidRPr="00CF0E68">
        <w:rPr>
          <w:rFonts w:ascii="Arial" w:hAnsi="Arial" w:cs="Arial"/>
          <w:sz w:val="20"/>
          <w:szCs w:val="20"/>
        </w:rPr>
        <w:t>cando atingir ou superar a meta atuarial de rentabilidade definida. Deverá ser sempre observado o equilíbrio dos ativos com as obrigações do passivo atuarial.</w:t>
      </w:r>
    </w:p>
    <w:p w:rsidR="009F5D4B" w:rsidRPr="00CF0E68" w:rsidRDefault="00C22C25" w:rsidP="00C22C25">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F5D4B" w:rsidRPr="00CF0E68">
        <w:rPr>
          <w:rFonts w:ascii="Arial" w:hAnsi="Arial" w:cs="Arial"/>
          <w:sz w:val="20"/>
          <w:szCs w:val="20"/>
        </w:rPr>
        <w:t xml:space="preserve">Este documento visa estabelecer instrumentos de controle e de balizamento para os procedimentos na aplicação dos ativos da </w:t>
      </w:r>
      <w:r w:rsidR="00DE1985" w:rsidRPr="00CF0E68">
        <w:rPr>
          <w:rFonts w:ascii="Arial" w:hAnsi="Arial" w:cs="Arial"/>
          <w:sz w:val="20"/>
          <w:szCs w:val="20"/>
        </w:rPr>
        <w:t>Instituição</w:t>
      </w:r>
      <w:r w:rsidR="009F5D4B" w:rsidRPr="00CF0E68">
        <w:rPr>
          <w:rFonts w:ascii="Arial" w:hAnsi="Arial" w:cs="Arial"/>
          <w:sz w:val="20"/>
          <w:szCs w:val="20"/>
        </w:rPr>
        <w:t xml:space="preserve">, no intuito de assegurar e garantir a continuidade do gerenciamento prudente e eficiente dos </w:t>
      </w:r>
      <w:r w:rsidR="00DE1985" w:rsidRPr="00CF0E68">
        <w:rPr>
          <w:rFonts w:ascii="Arial" w:hAnsi="Arial" w:cs="Arial"/>
          <w:sz w:val="20"/>
          <w:szCs w:val="20"/>
        </w:rPr>
        <w:t xml:space="preserve">seus </w:t>
      </w:r>
      <w:r w:rsidR="009F5D4B" w:rsidRPr="00CF0E68">
        <w:rPr>
          <w:rFonts w:ascii="Arial" w:hAnsi="Arial" w:cs="Arial"/>
          <w:sz w:val="20"/>
          <w:szCs w:val="20"/>
        </w:rPr>
        <w:t>ativos.</w:t>
      </w:r>
    </w:p>
    <w:p w:rsidR="009F5D4B" w:rsidRDefault="00C22C25" w:rsidP="00E94AEF">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F5D4B" w:rsidRPr="00CF0E68">
        <w:rPr>
          <w:rFonts w:ascii="Arial" w:hAnsi="Arial" w:cs="Arial"/>
          <w:sz w:val="20"/>
          <w:szCs w:val="20"/>
        </w:rPr>
        <w:t>Serão utilizados dados e informações econômicas e previsão de cenários de mercado, que</w:t>
      </w:r>
      <w:r w:rsidR="00F72EEE">
        <w:rPr>
          <w:rFonts w:ascii="Arial" w:hAnsi="Arial" w:cs="Arial"/>
          <w:sz w:val="20"/>
          <w:szCs w:val="20"/>
        </w:rPr>
        <w:t>,</w:t>
      </w:r>
      <w:r w:rsidR="009F5D4B" w:rsidRPr="00CF0E68">
        <w:rPr>
          <w:rFonts w:ascii="Arial" w:hAnsi="Arial" w:cs="Arial"/>
          <w:sz w:val="20"/>
          <w:szCs w:val="20"/>
        </w:rPr>
        <w:t xml:space="preserve"> muito embora sejam de inteira responsabilidade dos Gestores</w:t>
      </w:r>
      <w:r w:rsidR="00020371" w:rsidRPr="00CF0E68">
        <w:rPr>
          <w:rFonts w:ascii="Arial" w:hAnsi="Arial" w:cs="Arial"/>
          <w:sz w:val="20"/>
          <w:szCs w:val="20"/>
        </w:rPr>
        <w:t xml:space="preserve"> Financeiros</w:t>
      </w:r>
      <w:r w:rsidR="009F5D4B" w:rsidRPr="00CF0E68">
        <w:rPr>
          <w:rFonts w:ascii="Arial" w:hAnsi="Arial" w:cs="Arial"/>
          <w:sz w:val="20"/>
          <w:szCs w:val="20"/>
        </w:rPr>
        <w:t>, não const</w:t>
      </w:r>
      <w:r w:rsidR="00F72EEE">
        <w:rPr>
          <w:rFonts w:ascii="Arial" w:hAnsi="Arial" w:cs="Arial"/>
          <w:sz w:val="20"/>
          <w:szCs w:val="20"/>
        </w:rPr>
        <w:t>ituem,</w:t>
      </w:r>
      <w:r w:rsidR="009F5D4B" w:rsidRPr="00CF0E68">
        <w:rPr>
          <w:rFonts w:ascii="Arial" w:hAnsi="Arial" w:cs="Arial"/>
          <w:sz w:val="20"/>
          <w:szCs w:val="20"/>
        </w:rPr>
        <w:t xml:space="preserve"> de forma alguma</w:t>
      </w:r>
      <w:r w:rsidR="00F72EEE">
        <w:rPr>
          <w:rFonts w:ascii="Arial" w:hAnsi="Arial" w:cs="Arial"/>
          <w:sz w:val="20"/>
          <w:szCs w:val="20"/>
        </w:rPr>
        <w:t>,</w:t>
      </w:r>
      <w:r w:rsidR="009F5D4B" w:rsidRPr="00CF0E68">
        <w:rPr>
          <w:rFonts w:ascii="Arial" w:hAnsi="Arial" w:cs="Arial"/>
          <w:sz w:val="20"/>
          <w:szCs w:val="20"/>
        </w:rPr>
        <w:t xml:space="preserve"> fato certo ou concreto, tão</w:t>
      </w:r>
      <w:r w:rsidR="00895FF5">
        <w:rPr>
          <w:rFonts w:ascii="Arial" w:hAnsi="Arial" w:cs="Arial"/>
          <w:sz w:val="20"/>
          <w:szCs w:val="20"/>
        </w:rPr>
        <w:t xml:space="preserve"> </w:t>
      </w:r>
      <w:r w:rsidR="001A6CF4" w:rsidRPr="00276E57">
        <w:rPr>
          <w:rFonts w:ascii="Arial" w:hAnsi="Arial" w:cs="Arial"/>
          <w:sz w:val="20"/>
          <w:szCs w:val="20"/>
        </w:rPr>
        <w:t>somente</w:t>
      </w:r>
      <w:r w:rsidR="009F5D4B" w:rsidRPr="00CF0E68">
        <w:rPr>
          <w:rFonts w:ascii="Arial" w:hAnsi="Arial" w:cs="Arial"/>
          <w:sz w:val="20"/>
          <w:szCs w:val="20"/>
        </w:rPr>
        <w:t xml:space="preserve"> um</w:t>
      </w:r>
      <w:r w:rsidR="005444ED" w:rsidRPr="00CF0E68">
        <w:rPr>
          <w:rFonts w:ascii="Arial" w:hAnsi="Arial" w:cs="Arial"/>
          <w:sz w:val="20"/>
          <w:szCs w:val="20"/>
        </w:rPr>
        <w:t>a</w:t>
      </w:r>
      <w:r w:rsidR="009F5D4B" w:rsidRPr="00CF0E68">
        <w:rPr>
          <w:rFonts w:ascii="Arial" w:hAnsi="Arial" w:cs="Arial"/>
          <w:sz w:val="20"/>
          <w:szCs w:val="20"/>
        </w:rPr>
        <w:t xml:space="preserve"> projeção de cenários.</w:t>
      </w:r>
    </w:p>
    <w:p w:rsidR="00E94AEF" w:rsidRDefault="00E94AEF" w:rsidP="00E94AEF">
      <w:pPr>
        <w:autoSpaceDE w:val="0"/>
        <w:autoSpaceDN w:val="0"/>
        <w:adjustRightInd w:val="0"/>
        <w:spacing w:after="120" w:line="312" w:lineRule="auto"/>
        <w:jc w:val="both"/>
        <w:rPr>
          <w:rFonts w:ascii="Arial" w:hAnsi="Arial" w:cs="Arial"/>
          <w:sz w:val="20"/>
          <w:szCs w:val="20"/>
        </w:rPr>
      </w:pPr>
    </w:p>
    <w:p w:rsidR="004049B7" w:rsidRPr="00CF0E68" w:rsidRDefault="00B17818" w:rsidP="00E94AEF">
      <w:pPr>
        <w:pStyle w:val="Ttulo1"/>
        <w:numPr>
          <w:ilvl w:val="0"/>
          <w:numId w:val="0"/>
        </w:numPr>
        <w:tabs>
          <w:tab w:val="left" w:pos="1134"/>
        </w:tabs>
        <w:spacing w:before="0" w:after="120" w:line="312" w:lineRule="auto"/>
        <w:jc w:val="both"/>
        <w:rPr>
          <w:sz w:val="24"/>
          <w:szCs w:val="24"/>
        </w:rPr>
      </w:pPr>
      <w:r w:rsidRPr="00CF0E68">
        <w:rPr>
          <w:sz w:val="24"/>
          <w:szCs w:val="24"/>
        </w:rPr>
        <w:t>2</w:t>
      </w:r>
      <w:r w:rsidR="00C22C25">
        <w:rPr>
          <w:sz w:val="24"/>
          <w:szCs w:val="24"/>
        </w:rPr>
        <w:t xml:space="preserve"> - </w:t>
      </w:r>
      <w:r w:rsidR="00491B78" w:rsidRPr="00CF0E68">
        <w:rPr>
          <w:sz w:val="24"/>
          <w:szCs w:val="24"/>
        </w:rPr>
        <w:t>OBJETIVOS</w:t>
      </w:r>
      <w:bookmarkEnd w:id="0"/>
    </w:p>
    <w:p w:rsidR="006071B9" w:rsidRDefault="00C22C25" w:rsidP="00E94AEF">
      <w:pPr>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049B7" w:rsidRPr="00CF0E68">
        <w:rPr>
          <w:rFonts w:ascii="Arial" w:hAnsi="Arial" w:cs="Arial"/>
          <w:sz w:val="20"/>
          <w:szCs w:val="20"/>
        </w:rPr>
        <w:t>Esta Política de Investimentos define as diretrizes e práticas de gestão do</w:t>
      </w:r>
      <w:r w:rsidR="00713FD1" w:rsidRPr="00CF0E68">
        <w:rPr>
          <w:rFonts w:ascii="Arial" w:hAnsi="Arial" w:cs="Arial"/>
          <w:sz w:val="20"/>
          <w:szCs w:val="20"/>
        </w:rPr>
        <w:t>s recursos em moeda corrente do Regime Próprio</w:t>
      </w:r>
      <w:r w:rsidR="004049B7" w:rsidRPr="00CF0E68">
        <w:rPr>
          <w:rFonts w:ascii="Arial" w:hAnsi="Arial" w:cs="Arial"/>
          <w:sz w:val="20"/>
          <w:szCs w:val="20"/>
        </w:rPr>
        <w:t xml:space="preserve"> de Previdência Social. </w:t>
      </w:r>
      <w:r w:rsidR="00D652B6" w:rsidRPr="00CF0E68">
        <w:rPr>
          <w:rFonts w:ascii="Arial" w:hAnsi="Arial" w:cs="Arial"/>
          <w:sz w:val="20"/>
          <w:szCs w:val="20"/>
        </w:rPr>
        <w:t>A</w:t>
      </w:r>
      <w:r w:rsidR="006071B9" w:rsidRPr="00CF0E68">
        <w:rPr>
          <w:rFonts w:ascii="Arial" w:hAnsi="Arial" w:cs="Arial"/>
          <w:sz w:val="20"/>
          <w:szCs w:val="20"/>
        </w:rPr>
        <w:t xml:space="preserve"> AMPREV adot</w:t>
      </w:r>
      <w:r w:rsidR="006F0494" w:rsidRPr="00CF0E68">
        <w:rPr>
          <w:rFonts w:ascii="Arial" w:hAnsi="Arial" w:cs="Arial"/>
          <w:sz w:val="20"/>
          <w:szCs w:val="20"/>
        </w:rPr>
        <w:t>a</w:t>
      </w:r>
      <w:r w:rsidR="006071B9" w:rsidRPr="00CF0E68">
        <w:rPr>
          <w:rFonts w:ascii="Arial" w:hAnsi="Arial" w:cs="Arial"/>
          <w:sz w:val="20"/>
          <w:szCs w:val="20"/>
        </w:rPr>
        <w:t xml:space="preserve"> esta </w:t>
      </w:r>
      <w:r w:rsidR="00713FD1" w:rsidRPr="00CF0E68">
        <w:rPr>
          <w:rFonts w:ascii="Arial" w:hAnsi="Arial" w:cs="Arial"/>
          <w:sz w:val="20"/>
          <w:szCs w:val="20"/>
        </w:rPr>
        <w:t>P</w:t>
      </w:r>
      <w:r w:rsidR="006071B9" w:rsidRPr="00CF0E68">
        <w:rPr>
          <w:rFonts w:ascii="Arial" w:hAnsi="Arial" w:cs="Arial"/>
          <w:sz w:val="20"/>
          <w:szCs w:val="20"/>
        </w:rPr>
        <w:t xml:space="preserve">olítica de </w:t>
      </w:r>
      <w:r w:rsidR="00713FD1" w:rsidRPr="00CF0E68">
        <w:rPr>
          <w:rFonts w:ascii="Arial" w:hAnsi="Arial" w:cs="Arial"/>
          <w:sz w:val="20"/>
          <w:szCs w:val="20"/>
        </w:rPr>
        <w:t>I</w:t>
      </w:r>
      <w:r w:rsidR="006071B9" w:rsidRPr="00CF0E68">
        <w:rPr>
          <w:rFonts w:ascii="Arial" w:hAnsi="Arial" w:cs="Arial"/>
          <w:sz w:val="20"/>
          <w:szCs w:val="20"/>
        </w:rPr>
        <w:t>nvestimento</w:t>
      </w:r>
      <w:r w:rsidR="00713FD1" w:rsidRPr="00CF0E68">
        <w:rPr>
          <w:rFonts w:ascii="Arial" w:hAnsi="Arial" w:cs="Arial"/>
          <w:sz w:val="20"/>
          <w:szCs w:val="20"/>
        </w:rPr>
        <w:t>s</w:t>
      </w:r>
      <w:r w:rsidR="006071B9" w:rsidRPr="00CF0E68">
        <w:rPr>
          <w:rFonts w:ascii="Arial" w:hAnsi="Arial" w:cs="Arial"/>
          <w:sz w:val="20"/>
          <w:szCs w:val="20"/>
        </w:rPr>
        <w:t xml:space="preserve"> como um plano de </w:t>
      </w:r>
      <w:r w:rsidR="003D386B">
        <w:rPr>
          <w:rFonts w:ascii="Arial" w:hAnsi="Arial" w:cs="Arial"/>
          <w:sz w:val="20"/>
          <w:szCs w:val="20"/>
        </w:rPr>
        <w:t xml:space="preserve">médio e </w:t>
      </w:r>
      <w:r w:rsidR="006071B9" w:rsidRPr="00CF0E68">
        <w:rPr>
          <w:rFonts w:ascii="Arial" w:hAnsi="Arial" w:cs="Arial"/>
          <w:sz w:val="20"/>
          <w:szCs w:val="20"/>
        </w:rPr>
        <w:t>longo prazo para assegurar:</w:t>
      </w:r>
    </w:p>
    <w:p w:rsidR="00594D6B" w:rsidRPr="00276E57" w:rsidRDefault="00594D6B" w:rsidP="00594D6B">
      <w:pPr>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202AC0">
        <w:rPr>
          <w:rFonts w:ascii="Arial" w:hAnsi="Arial" w:cs="Arial"/>
          <w:b/>
          <w:sz w:val="20"/>
          <w:szCs w:val="20"/>
        </w:rPr>
        <w:t>2.1</w:t>
      </w:r>
      <w:r w:rsidR="00202AC0" w:rsidRPr="00202AC0">
        <w:rPr>
          <w:rFonts w:ascii="Arial" w:hAnsi="Arial" w:cs="Arial"/>
          <w:b/>
          <w:sz w:val="20"/>
          <w:szCs w:val="20"/>
        </w:rPr>
        <w:t>.</w:t>
      </w:r>
      <w:r w:rsidR="00402FD1">
        <w:rPr>
          <w:rFonts w:ascii="Arial" w:hAnsi="Arial" w:cs="Arial"/>
          <w:b/>
          <w:sz w:val="20"/>
          <w:szCs w:val="20"/>
        </w:rPr>
        <w:t xml:space="preserve"> </w:t>
      </w:r>
      <w:r w:rsidR="00D5336B" w:rsidRPr="00CF0E68">
        <w:rPr>
          <w:rFonts w:ascii="Arial" w:hAnsi="Arial" w:cs="Arial"/>
          <w:sz w:val="20"/>
          <w:szCs w:val="20"/>
        </w:rPr>
        <w:t xml:space="preserve">O estabelecimento das diretrizes das aplicações dos recursos garantidores dos pagamentos dos segurados e beneficiários da AMPREV, visando </w:t>
      </w:r>
      <w:r w:rsidR="00722B27" w:rsidRPr="00722B27">
        <w:rPr>
          <w:rFonts w:ascii="Arial" w:hAnsi="Arial" w:cs="Arial"/>
          <w:sz w:val="20"/>
          <w:szCs w:val="20"/>
        </w:rPr>
        <w:t xml:space="preserve">atingir </w:t>
      </w:r>
      <w:r w:rsidR="00D5336B" w:rsidRPr="00CF0E68">
        <w:rPr>
          <w:rFonts w:ascii="Arial" w:hAnsi="Arial" w:cs="Arial"/>
          <w:sz w:val="20"/>
          <w:szCs w:val="20"/>
        </w:rPr>
        <w:t xml:space="preserve">a meta atuarial que é </w:t>
      </w:r>
      <w:r w:rsidR="00D5336B" w:rsidRPr="00FC2E78">
        <w:rPr>
          <w:rFonts w:ascii="Arial" w:hAnsi="Arial" w:cs="Arial"/>
          <w:b/>
          <w:sz w:val="20"/>
          <w:szCs w:val="20"/>
        </w:rPr>
        <w:t>INPC+</w:t>
      </w:r>
      <w:r w:rsidR="003377A4" w:rsidRPr="00FC2E78">
        <w:rPr>
          <w:rFonts w:ascii="Arial" w:hAnsi="Arial" w:cs="Arial"/>
          <w:b/>
          <w:sz w:val="20"/>
          <w:szCs w:val="20"/>
        </w:rPr>
        <w:t xml:space="preserve"> 6% a.a. (</w:t>
      </w:r>
      <w:r w:rsidR="00B93E39">
        <w:rPr>
          <w:rFonts w:ascii="Arial" w:hAnsi="Arial" w:cs="Arial"/>
          <w:b/>
          <w:sz w:val="20"/>
          <w:szCs w:val="20"/>
        </w:rPr>
        <w:t>seis</w:t>
      </w:r>
      <w:r w:rsidR="003377A4" w:rsidRPr="00FC2E78">
        <w:rPr>
          <w:rFonts w:ascii="Arial" w:hAnsi="Arial" w:cs="Arial"/>
          <w:b/>
          <w:sz w:val="20"/>
          <w:szCs w:val="20"/>
        </w:rPr>
        <w:t xml:space="preserve"> por cento)</w:t>
      </w:r>
      <w:r w:rsidR="00D5336B" w:rsidRPr="00CF0E68">
        <w:rPr>
          <w:rFonts w:ascii="Arial" w:hAnsi="Arial" w:cs="Arial"/>
          <w:sz w:val="20"/>
          <w:szCs w:val="20"/>
        </w:rPr>
        <w:t>, para garantir a manutenção do equilíbrio econômico-financeiro e atuarial no âmbito da Instituição, tendo sempre presentes os princípios da boa governança, da segurança</w:t>
      </w:r>
      <w:r w:rsidR="00D5336B" w:rsidRPr="00276E57">
        <w:rPr>
          <w:rFonts w:ascii="Arial" w:hAnsi="Arial" w:cs="Arial"/>
          <w:sz w:val="20"/>
          <w:szCs w:val="20"/>
        </w:rPr>
        <w:t>,</w:t>
      </w:r>
      <w:r w:rsidR="00FD4323" w:rsidRPr="00276E57">
        <w:rPr>
          <w:rFonts w:ascii="Arial" w:hAnsi="Arial" w:cs="Arial"/>
          <w:sz w:val="20"/>
          <w:szCs w:val="20"/>
        </w:rPr>
        <w:t xml:space="preserve"> da</w:t>
      </w:r>
      <w:r w:rsidR="00D5336B" w:rsidRPr="00276E57">
        <w:rPr>
          <w:rFonts w:ascii="Arial" w:hAnsi="Arial" w:cs="Arial"/>
          <w:sz w:val="20"/>
          <w:szCs w:val="20"/>
        </w:rPr>
        <w:t xml:space="preserve"> rentabilidade, </w:t>
      </w:r>
      <w:r w:rsidR="00FD4323" w:rsidRPr="00276E57">
        <w:rPr>
          <w:rFonts w:ascii="Arial" w:hAnsi="Arial" w:cs="Arial"/>
          <w:sz w:val="20"/>
          <w:szCs w:val="20"/>
        </w:rPr>
        <w:t xml:space="preserve">da </w:t>
      </w:r>
      <w:r w:rsidR="00D5336B" w:rsidRPr="00276E57">
        <w:rPr>
          <w:rFonts w:ascii="Arial" w:hAnsi="Arial" w:cs="Arial"/>
          <w:sz w:val="20"/>
          <w:szCs w:val="20"/>
        </w:rPr>
        <w:t>solvência,</w:t>
      </w:r>
      <w:r w:rsidR="00FD4323" w:rsidRPr="00276E57">
        <w:rPr>
          <w:rFonts w:ascii="Arial" w:hAnsi="Arial" w:cs="Arial"/>
          <w:sz w:val="20"/>
          <w:szCs w:val="20"/>
        </w:rPr>
        <w:t xml:space="preserve"> da</w:t>
      </w:r>
      <w:r w:rsidR="00D5336B" w:rsidRPr="00276E57">
        <w:rPr>
          <w:rFonts w:ascii="Arial" w:hAnsi="Arial" w:cs="Arial"/>
          <w:sz w:val="20"/>
          <w:szCs w:val="20"/>
        </w:rPr>
        <w:t xml:space="preserve"> liquidez e</w:t>
      </w:r>
      <w:r w:rsidR="00FD4323" w:rsidRPr="00276E57">
        <w:rPr>
          <w:rFonts w:ascii="Arial" w:hAnsi="Arial" w:cs="Arial"/>
          <w:sz w:val="20"/>
          <w:szCs w:val="20"/>
        </w:rPr>
        <w:t xml:space="preserve"> da</w:t>
      </w:r>
      <w:r w:rsidR="00D5336B" w:rsidRPr="00276E57">
        <w:rPr>
          <w:rFonts w:ascii="Arial" w:hAnsi="Arial" w:cs="Arial"/>
          <w:sz w:val="20"/>
          <w:szCs w:val="20"/>
        </w:rPr>
        <w:t xml:space="preserve"> transparência;</w:t>
      </w:r>
    </w:p>
    <w:p w:rsidR="00594D6B" w:rsidRDefault="00594D6B" w:rsidP="00594D6B">
      <w:pPr>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202AC0">
        <w:rPr>
          <w:rFonts w:ascii="Arial" w:hAnsi="Arial" w:cs="Arial"/>
          <w:b/>
          <w:sz w:val="20"/>
          <w:szCs w:val="20"/>
        </w:rPr>
        <w:t>2.2</w:t>
      </w:r>
      <w:r w:rsidR="00202AC0" w:rsidRPr="00202AC0">
        <w:rPr>
          <w:rFonts w:ascii="Arial" w:hAnsi="Arial" w:cs="Arial"/>
          <w:b/>
          <w:sz w:val="20"/>
          <w:szCs w:val="20"/>
        </w:rPr>
        <w:t>.</w:t>
      </w:r>
      <w:r w:rsidR="00402FD1">
        <w:rPr>
          <w:rFonts w:ascii="Arial" w:hAnsi="Arial" w:cs="Arial"/>
          <w:b/>
          <w:sz w:val="20"/>
          <w:szCs w:val="20"/>
        </w:rPr>
        <w:t xml:space="preserve"> </w:t>
      </w:r>
      <w:r w:rsidR="00D5336B" w:rsidRPr="00CF0E68">
        <w:rPr>
          <w:rFonts w:ascii="Arial" w:hAnsi="Arial" w:cs="Arial"/>
          <w:sz w:val="20"/>
          <w:szCs w:val="20"/>
        </w:rPr>
        <w:t>O claro entendimento por parte dos gestores, servidores da AMPREV, partici</w:t>
      </w:r>
      <w:r w:rsidR="00FD24AB">
        <w:rPr>
          <w:rFonts w:ascii="Arial" w:hAnsi="Arial" w:cs="Arial"/>
          <w:sz w:val="20"/>
          <w:szCs w:val="20"/>
        </w:rPr>
        <w:softHyphen/>
      </w:r>
      <w:r w:rsidR="00D5336B" w:rsidRPr="00CF0E68">
        <w:rPr>
          <w:rFonts w:ascii="Arial" w:hAnsi="Arial" w:cs="Arial"/>
          <w:sz w:val="20"/>
          <w:szCs w:val="20"/>
        </w:rPr>
        <w:t>pantes, beneficiários, provedores externos de serviços e órgãos reguladores quanto aos objetivos e restrições relativas ao</w:t>
      </w:r>
      <w:r w:rsidR="00AF592D">
        <w:rPr>
          <w:rFonts w:ascii="Arial" w:hAnsi="Arial" w:cs="Arial"/>
          <w:sz w:val="20"/>
          <w:szCs w:val="20"/>
        </w:rPr>
        <w:t>s</w:t>
      </w:r>
      <w:r w:rsidR="00D5336B" w:rsidRPr="00CF0E68">
        <w:rPr>
          <w:rFonts w:ascii="Arial" w:hAnsi="Arial" w:cs="Arial"/>
          <w:sz w:val="20"/>
          <w:szCs w:val="20"/>
        </w:rPr>
        <w:t xml:space="preserve"> investimento</w:t>
      </w:r>
      <w:r w:rsidR="00AF592D">
        <w:rPr>
          <w:rFonts w:ascii="Arial" w:hAnsi="Arial" w:cs="Arial"/>
          <w:sz w:val="20"/>
          <w:szCs w:val="20"/>
        </w:rPr>
        <w:t>s</w:t>
      </w:r>
      <w:r w:rsidR="00D5336B" w:rsidRPr="00CF0E68">
        <w:rPr>
          <w:rFonts w:ascii="Arial" w:hAnsi="Arial" w:cs="Arial"/>
          <w:sz w:val="20"/>
          <w:szCs w:val="20"/>
        </w:rPr>
        <w:t xml:space="preserve"> dos ativos da Instituição;</w:t>
      </w:r>
    </w:p>
    <w:p w:rsidR="00D5336B" w:rsidRDefault="00594D6B" w:rsidP="00594D6B">
      <w:pPr>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202AC0">
        <w:rPr>
          <w:rFonts w:ascii="Arial" w:hAnsi="Arial" w:cs="Arial"/>
          <w:b/>
          <w:sz w:val="20"/>
          <w:szCs w:val="20"/>
        </w:rPr>
        <w:t>2.3</w:t>
      </w:r>
      <w:r w:rsidR="00202AC0" w:rsidRPr="00202AC0">
        <w:rPr>
          <w:rFonts w:ascii="Arial" w:hAnsi="Arial" w:cs="Arial"/>
          <w:b/>
          <w:sz w:val="20"/>
          <w:szCs w:val="20"/>
        </w:rPr>
        <w:t>.</w:t>
      </w:r>
      <w:r w:rsidR="00402FD1">
        <w:rPr>
          <w:rFonts w:ascii="Arial" w:hAnsi="Arial" w:cs="Arial"/>
          <w:b/>
          <w:sz w:val="20"/>
          <w:szCs w:val="20"/>
        </w:rPr>
        <w:t xml:space="preserve"> </w:t>
      </w:r>
      <w:r w:rsidR="00D5336B" w:rsidRPr="00594D6B">
        <w:rPr>
          <w:rFonts w:ascii="Arial" w:hAnsi="Arial" w:cs="Arial"/>
          <w:sz w:val="20"/>
          <w:szCs w:val="20"/>
        </w:rPr>
        <w:t>A existência de um instrumento de planejamento que oriente a AMPREV a identificar e definir claramente suas necessidades e seus requisitos por meio de objetivos de retorno, tolerâncias a risco (isto é, objetivos de investimento) e restrições de investimento;</w:t>
      </w:r>
    </w:p>
    <w:p w:rsidR="00D5336B" w:rsidRDefault="00594D6B" w:rsidP="00594D6B">
      <w:pPr>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202AC0">
        <w:rPr>
          <w:rFonts w:ascii="Arial" w:hAnsi="Arial" w:cs="Arial"/>
          <w:b/>
          <w:sz w:val="20"/>
          <w:szCs w:val="20"/>
        </w:rPr>
        <w:t>2.4</w:t>
      </w:r>
      <w:r w:rsidR="00202AC0" w:rsidRPr="00202AC0">
        <w:rPr>
          <w:rFonts w:ascii="Arial" w:hAnsi="Arial" w:cs="Arial"/>
          <w:b/>
          <w:sz w:val="20"/>
          <w:szCs w:val="20"/>
        </w:rPr>
        <w:t>.</w:t>
      </w:r>
      <w:r w:rsidR="00402FD1">
        <w:rPr>
          <w:rFonts w:ascii="Arial" w:hAnsi="Arial" w:cs="Arial"/>
          <w:b/>
          <w:sz w:val="20"/>
          <w:szCs w:val="20"/>
        </w:rPr>
        <w:t xml:space="preserve"> </w:t>
      </w:r>
      <w:r w:rsidR="00D5336B" w:rsidRPr="00CF0E68">
        <w:rPr>
          <w:rFonts w:ascii="Arial" w:hAnsi="Arial" w:cs="Arial"/>
          <w:sz w:val="20"/>
          <w:szCs w:val="20"/>
        </w:rPr>
        <w:t>A existência de critérios objetivos e racionais para a avaliação de classes de ativos, de gestores e de estratégias de investimentos empregados no processo de investimento da Instituição;</w:t>
      </w:r>
    </w:p>
    <w:p w:rsidR="00D5336B" w:rsidRDefault="00594D6B" w:rsidP="00594D6B">
      <w:pPr>
        <w:spacing w:after="120" w:line="312"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Pr="00202AC0">
        <w:rPr>
          <w:rFonts w:ascii="Arial" w:hAnsi="Arial" w:cs="Arial"/>
          <w:b/>
          <w:sz w:val="20"/>
          <w:szCs w:val="20"/>
        </w:rPr>
        <w:t>2.5</w:t>
      </w:r>
      <w:r w:rsidR="00202AC0" w:rsidRPr="00202AC0">
        <w:rPr>
          <w:rFonts w:ascii="Arial" w:hAnsi="Arial" w:cs="Arial"/>
          <w:b/>
          <w:sz w:val="20"/>
          <w:szCs w:val="20"/>
        </w:rPr>
        <w:t>.</w:t>
      </w:r>
      <w:r w:rsidR="00D5336B" w:rsidRPr="00CF0E68">
        <w:rPr>
          <w:rFonts w:ascii="Arial" w:hAnsi="Arial" w:cs="Arial"/>
          <w:sz w:val="20"/>
          <w:szCs w:val="20"/>
        </w:rPr>
        <w:t>O estabelecimento de diretrizes aos gestores</w:t>
      </w:r>
      <w:r w:rsidR="00F72EEE">
        <w:rPr>
          <w:rFonts w:ascii="Arial" w:hAnsi="Arial" w:cs="Arial"/>
          <w:sz w:val="20"/>
          <w:szCs w:val="20"/>
        </w:rPr>
        <w:t>,</w:t>
      </w:r>
      <w:r w:rsidR="00D5336B" w:rsidRPr="00CF0E68">
        <w:rPr>
          <w:rFonts w:ascii="Arial" w:hAnsi="Arial" w:cs="Arial"/>
          <w:sz w:val="20"/>
          <w:szCs w:val="20"/>
        </w:rPr>
        <w:t xml:space="preserve"> para que conduzam o processo de investimento em conformidade com os objetivos e restrições de investimento;</w:t>
      </w:r>
    </w:p>
    <w:p w:rsidR="00D5336B" w:rsidRDefault="00594D6B" w:rsidP="00594D6B">
      <w:pPr>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202AC0">
        <w:rPr>
          <w:rFonts w:ascii="Arial" w:hAnsi="Arial" w:cs="Arial"/>
          <w:b/>
          <w:sz w:val="20"/>
          <w:szCs w:val="20"/>
        </w:rPr>
        <w:t>2.6</w:t>
      </w:r>
      <w:r w:rsidR="00202AC0">
        <w:rPr>
          <w:rFonts w:ascii="Arial" w:hAnsi="Arial" w:cs="Arial"/>
          <w:b/>
          <w:sz w:val="20"/>
          <w:szCs w:val="20"/>
        </w:rPr>
        <w:t>.</w:t>
      </w:r>
      <w:r w:rsidR="009C7559">
        <w:rPr>
          <w:rFonts w:ascii="Arial" w:hAnsi="Arial" w:cs="Arial"/>
          <w:sz w:val="20"/>
          <w:szCs w:val="20"/>
        </w:rPr>
        <w:t xml:space="preserve">Subsidiar </w:t>
      </w:r>
      <w:r w:rsidR="00D5336B" w:rsidRPr="00CF0E68">
        <w:rPr>
          <w:rFonts w:ascii="Arial" w:hAnsi="Arial" w:cs="Arial"/>
          <w:sz w:val="20"/>
          <w:szCs w:val="20"/>
        </w:rPr>
        <w:t xml:space="preserve">o gestor </w:t>
      </w:r>
      <w:r w:rsidR="00FD24AB">
        <w:rPr>
          <w:rFonts w:ascii="Arial" w:hAnsi="Arial" w:cs="Arial"/>
          <w:sz w:val="20"/>
          <w:szCs w:val="20"/>
        </w:rPr>
        <w:t>do RPPS</w:t>
      </w:r>
      <w:r w:rsidR="00C43B49">
        <w:rPr>
          <w:rFonts w:ascii="Arial" w:hAnsi="Arial" w:cs="Arial"/>
          <w:sz w:val="20"/>
          <w:szCs w:val="20"/>
        </w:rPr>
        <w:t>,</w:t>
      </w:r>
      <w:r w:rsidR="00D5336B" w:rsidRPr="00CF0E68">
        <w:rPr>
          <w:rFonts w:ascii="Arial" w:hAnsi="Arial" w:cs="Arial"/>
          <w:sz w:val="20"/>
          <w:szCs w:val="20"/>
        </w:rPr>
        <w:t>que venha a conduzir o processo de investimento</w:t>
      </w:r>
      <w:r w:rsidR="003D386B">
        <w:rPr>
          <w:rFonts w:ascii="Arial" w:hAnsi="Arial" w:cs="Arial"/>
          <w:sz w:val="20"/>
          <w:szCs w:val="20"/>
        </w:rPr>
        <w:t xml:space="preserve"> da AMPREV</w:t>
      </w:r>
      <w:r w:rsidR="009C7559">
        <w:rPr>
          <w:rFonts w:ascii="Arial" w:hAnsi="Arial" w:cs="Arial"/>
          <w:sz w:val="20"/>
          <w:szCs w:val="20"/>
        </w:rPr>
        <w:t>, com</w:t>
      </w:r>
      <w:r w:rsidR="00D5336B" w:rsidRPr="00CF0E68">
        <w:rPr>
          <w:rFonts w:ascii="Arial" w:hAnsi="Arial" w:cs="Arial"/>
          <w:sz w:val="20"/>
          <w:szCs w:val="20"/>
        </w:rPr>
        <w:t xml:space="preserve"> diretrizes bem definidas </w:t>
      </w:r>
      <w:r w:rsidR="00C43B49">
        <w:rPr>
          <w:rFonts w:ascii="Arial" w:hAnsi="Arial" w:cs="Arial"/>
          <w:sz w:val="20"/>
          <w:szCs w:val="20"/>
        </w:rPr>
        <w:t xml:space="preserve">a </w:t>
      </w:r>
      <w:r w:rsidR="00D5336B" w:rsidRPr="00CF0E68">
        <w:rPr>
          <w:rFonts w:ascii="Arial" w:hAnsi="Arial" w:cs="Arial"/>
          <w:sz w:val="20"/>
          <w:szCs w:val="20"/>
        </w:rPr>
        <w:t>ser</w:t>
      </w:r>
      <w:r w:rsidR="00C43B49">
        <w:rPr>
          <w:rFonts w:ascii="Arial" w:hAnsi="Arial" w:cs="Arial"/>
          <w:sz w:val="20"/>
          <w:szCs w:val="20"/>
        </w:rPr>
        <w:t>em</w:t>
      </w:r>
      <w:r w:rsidR="00D5336B" w:rsidRPr="00CF0E68">
        <w:rPr>
          <w:rFonts w:ascii="Arial" w:hAnsi="Arial" w:cs="Arial"/>
          <w:sz w:val="20"/>
          <w:szCs w:val="20"/>
        </w:rPr>
        <w:t xml:space="preserve"> seguidas na construção e no gerenciamento das cartei</w:t>
      </w:r>
      <w:r w:rsidR="003D386B">
        <w:rPr>
          <w:rFonts w:ascii="Arial" w:hAnsi="Arial" w:cs="Arial"/>
          <w:sz w:val="20"/>
          <w:szCs w:val="20"/>
        </w:rPr>
        <w:t xml:space="preserve">ras </w:t>
      </w:r>
      <w:r w:rsidR="003D386B" w:rsidRPr="00276E57">
        <w:rPr>
          <w:rFonts w:ascii="Arial" w:hAnsi="Arial" w:cs="Arial"/>
          <w:sz w:val="20"/>
          <w:szCs w:val="20"/>
        </w:rPr>
        <w:t>do</w:t>
      </w:r>
      <w:r w:rsidR="00FD4323" w:rsidRPr="00276E57">
        <w:rPr>
          <w:rFonts w:ascii="Arial" w:hAnsi="Arial" w:cs="Arial"/>
          <w:sz w:val="20"/>
          <w:szCs w:val="20"/>
        </w:rPr>
        <w:t>s</w:t>
      </w:r>
      <w:r w:rsidR="003D386B" w:rsidRPr="00276E57">
        <w:rPr>
          <w:rFonts w:ascii="Arial" w:hAnsi="Arial" w:cs="Arial"/>
          <w:sz w:val="20"/>
          <w:szCs w:val="20"/>
        </w:rPr>
        <w:t xml:space="preserve"> plano</w:t>
      </w:r>
      <w:r w:rsidR="00FD4323" w:rsidRPr="00276E57">
        <w:rPr>
          <w:rFonts w:ascii="Arial" w:hAnsi="Arial" w:cs="Arial"/>
          <w:sz w:val="20"/>
          <w:szCs w:val="20"/>
        </w:rPr>
        <w:t>s</w:t>
      </w:r>
      <w:r w:rsidR="003D386B" w:rsidRPr="00276E57">
        <w:rPr>
          <w:rFonts w:ascii="Arial" w:hAnsi="Arial" w:cs="Arial"/>
          <w:sz w:val="20"/>
          <w:szCs w:val="20"/>
        </w:rPr>
        <w:t xml:space="preserve"> financeiro</w:t>
      </w:r>
      <w:r w:rsidR="003D386B">
        <w:rPr>
          <w:rFonts w:ascii="Arial" w:hAnsi="Arial" w:cs="Arial"/>
          <w:sz w:val="20"/>
          <w:szCs w:val="20"/>
        </w:rPr>
        <w:t xml:space="preserve"> e previdenciário.</w:t>
      </w:r>
    </w:p>
    <w:p w:rsidR="00594D6B" w:rsidRDefault="00594D6B" w:rsidP="00594D6B">
      <w:pPr>
        <w:spacing w:after="120" w:line="312" w:lineRule="auto"/>
        <w:jc w:val="both"/>
        <w:rPr>
          <w:rFonts w:ascii="Arial" w:hAnsi="Arial" w:cs="Arial"/>
          <w:sz w:val="20"/>
          <w:szCs w:val="20"/>
        </w:rPr>
      </w:pPr>
    </w:p>
    <w:p w:rsidR="00574A12" w:rsidRPr="00CF0E68" w:rsidRDefault="00B17818" w:rsidP="00594D6B">
      <w:pPr>
        <w:pStyle w:val="Ttulo1"/>
        <w:numPr>
          <w:ilvl w:val="0"/>
          <w:numId w:val="0"/>
        </w:numPr>
        <w:spacing w:before="0" w:after="120"/>
        <w:jc w:val="both"/>
        <w:rPr>
          <w:sz w:val="24"/>
          <w:szCs w:val="24"/>
        </w:rPr>
      </w:pPr>
      <w:bookmarkStart w:id="1" w:name="_Toc51491535"/>
      <w:bookmarkStart w:id="2" w:name="_Toc57181565"/>
      <w:bookmarkStart w:id="3" w:name="_Toc59357224"/>
      <w:bookmarkStart w:id="4" w:name="_Toc61767375"/>
      <w:bookmarkStart w:id="5" w:name="_Toc89348024"/>
      <w:bookmarkStart w:id="6" w:name="_Toc152756961"/>
      <w:bookmarkStart w:id="7" w:name="_Toc154572872"/>
      <w:bookmarkStart w:id="8" w:name="_Toc184817247"/>
      <w:r w:rsidRPr="00CF0E68">
        <w:rPr>
          <w:sz w:val="24"/>
          <w:szCs w:val="24"/>
        </w:rPr>
        <w:t>3</w:t>
      </w:r>
      <w:r w:rsidR="00594D6B">
        <w:rPr>
          <w:sz w:val="24"/>
          <w:szCs w:val="24"/>
        </w:rPr>
        <w:t xml:space="preserve"> - </w:t>
      </w:r>
      <w:r w:rsidR="00491B78" w:rsidRPr="00CF0E68">
        <w:rPr>
          <w:sz w:val="24"/>
          <w:szCs w:val="24"/>
        </w:rPr>
        <w:t>VIGÊNCIA DA POLÍTICA DE INVESTIMENTOS</w:t>
      </w:r>
    </w:p>
    <w:bookmarkEnd w:id="1"/>
    <w:bookmarkEnd w:id="2"/>
    <w:bookmarkEnd w:id="3"/>
    <w:bookmarkEnd w:id="4"/>
    <w:bookmarkEnd w:id="5"/>
    <w:bookmarkEnd w:id="6"/>
    <w:bookmarkEnd w:id="7"/>
    <w:bookmarkEnd w:id="8"/>
    <w:p w:rsidR="004049B7" w:rsidRDefault="00594D6B" w:rsidP="00594D6B">
      <w:pPr>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C7559">
        <w:rPr>
          <w:rFonts w:ascii="Arial" w:hAnsi="Arial" w:cs="Arial"/>
          <w:sz w:val="20"/>
          <w:szCs w:val="20"/>
        </w:rPr>
        <w:t>A</w:t>
      </w:r>
      <w:r w:rsidR="00A6227D" w:rsidRPr="009D760E">
        <w:rPr>
          <w:rFonts w:ascii="Arial" w:hAnsi="Arial" w:cs="Arial"/>
          <w:sz w:val="20"/>
          <w:szCs w:val="20"/>
        </w:rPr>
        <w:t xml:space="preserve"> vigência des</w:t>
      </w:r>
      <w:r w:rsidR="00713FD1" w:rsidRPr="009D760E">
        <w:rPr>
          <w:rFonts w:ascii="Arial" w:hAnsi="Arial" w:cs="Arial"/>
          <w:sz w:val="20"/>
          <w:szCs w:val="20"/>
        </w:rPr>
        <w:t>t</w:t>
      </w:r>
      <w:r w:rsidR="00A6227D" w:rsidRPr="009D760E">
        <w:rPr>
          <w:rFonts w:ascii="Arial" w:hAnsi="Arial" w:cs="Arial"/>
          <w:sz w:val="20"/>
          <w:szCs w:val="20"/>
        </w:rPr>
        <w:t xml:space="preserve">a </w:t>
      </w:r>
      <w:r w:rsidR="00574A12" w:rsidRPr="009D760E">
        <w:rPr>
          <w:rFonts w:ascii="Arial" w:hAnsi="Arial" w:cs="Arial"/>
          <w:sz w:val="20"/>
          <w:szCs w:val="20"/>
        </w:rPr>
        <w:t>P</w:t>
      </w:r>
      <w:r w:rsidR="00A6227D" w:rsidRPr="009D760E">
        <w:rPr>
          <w:rFonts w:ascii="Arial" w:hAnsi="Arial" w:cs="Arial"/>
          <w:sz w:val="20"/>
          <w:szCs w:val="20"/>
        </w:rPr>
        <w:t xml:space="preserve">olítica de </w:t>
      </w:r>
      <w:r w:rsidR="00574A12" w:rsidRPr="009D760E">
        <w:rPr>
          <w:rFonts w:ascii="Arial" w:hAnsi="Arial" w:cs="Arial"/>
          <w:sz w:val="20"/>
          <w:szCs w:val="20"/>
        </w:rPr>
        <w:t>I</w:t>
      </w:r>
      <w:r w:rsidR="00A6227D" w:rsidRPr="009D760E">
        <w:rPr>
          <w:rFonts w:ascii="Arial" w:hAnsi="Arial" w:cs="Arial"/>
          <w:sz w:val="20"/>
          <w:szCs w:val="20"/>
        </w:rPr>
        <w:t>nvestimento</w:t>
      </w:r>
      <w:r w:rsidR="00574A12" w:rsidRPr="009D760E">
        <w:rPr>
          <w:rFonts w:ascii="Arial" w:hAnsi="Arial" w:cs="Arial"/>
          <w:sz w:val="20"/>
          <w:szCs w:val="20"/>
        </w:rPr>
        <w:t>s</w:t>
      </w:r>
      <w:r w:rsidR="00A6227D" w:rsidRPr="009D760E">
        <w:rPr>
          <w:rFonts w:ascii="Arial" w:hAnsi="Arial" w:cs="Arial"/>
          <w:sz w:val="20"/>
          <w:szCs w:val="20"/>
        </w:rPr>
        <w:t xml:space="preserve"> é</w:t>
      </w:r>
      <w:r w:rsidR="006F7BCC" w:rsidRPr="009D760E">
        <w:rPr>
          <w:rFonts w:ascii="Arial" w:hAnsi="Arial" w:cs="Arial"/>
          <w:sz w:val="20"/>
          <w:szCs w:val="20"/>
        </w:rPr>
        <w:t xml:space="preserve"> para o </w:t>
      </w:r>
      <w:r w:rsidR="009D760E" w:rsidRPr="009D760E">
        <w:rPr>
          <w:rFonts w:ascii="Arial" w:hAnsi="Arial" w:cs="Arial"/>
          <w:sz w:val="20"/>
          <w:szCs w:val="20"/>
        </w:rPr>
        <w:t>exercício</w:t>
      </w:r>
      <w:r w:rsidR="0004516A" w:rsidRPr="009D760E">
        <w:rPr>
          <w:rFonts w:ascii="Arial" w:hAnsi="Arial" w:cs="Arial"/>
          <w:sz w:val="20"/>
          <w:szCs w:val="20"/>
        </w:rPr>
        <w:t xml:space="preserve"> de</w:t>
      </w:r>
      <w:r w:rsidR="00713FD1" w:rsidRPr="009D760E">
        <w:rPr>
          <w:rFonts w:ascii="Arial" w:hAnsi="Arial" w:cs="Arial"/>
          <w:sz w:val="20"/>
          <w:szCs w:val="20"/>
        </w:rPr>
        <w:t>20</w:t>
      </w:r>
      <w:r w:rsidR="00275674">
        <w:rPr>
          <w:rFonts w:ascii="Arial" w:hAnsi="Arial" w:cs="Arial"/>
          <w:sz w:val="20"/>
          <w:szCs w:val="20"/>
        </w:rPr>
        <w:t>1</w:t>
      </w:r>
      <w:r w:rsidR="00B93E39">
        <w:rPr>
          <w:rFonts w:ascii="Arial" w:hAnsi="Arial" w:cs="Arial"/>
          <w:sz w:val="20"/>
          <w:szCs w:val="20"/>
        </w:rPr>
        <w:t>5</w:t>
      </w:r>
      <w:r w:rsidR="006F7BCC" w:rsidRPr="009D760E">
        <w:rPr>
          <w:rFonts w:ascii="Arial" w:hAnsi="Arial" w:cs="Arial"/>
          <w:sz w:val="20"/>
          <w:szCs w:val="20"/>
        </w:rPr>
        <w:t>,</w:t>
      </w:r>
      <w:r w:rsidR="00A6227D" w:rsidRPr="009D760E">
        <w:rPr>
          <w:rFonts w:ascii="Arial" w:hAnsi="Arial" w:cs="Arial"/>
          <w:sz w:val="20"/>
          <w:szCs w:val="20"/>
        </w:rPr>
        <w:t xml:space="preserve"> po</w:t>
      </w:r>
      <w:r w:rsidR="009C7559">
        <w:rPr>
          <w:rFonts w:ascii="Arial" w:hAnsi="Arial" w:cs="Arial"/>
          <w:sz w:val="20"/>
          <w:szCs w:val="20"/>
        </w:rPr>
        <w:t xml:space="preserve">dendo sofrer </w:t>
      </w:r>
      <w:r w:rsidR="00A6227D" w:rsidRPr="009D760E">
        <w:rPr>
          <w:rFonts w:ascii="Arial" w:hAnsi="Arial" w:cs="Arial"/>
          <w:sz w:val="20"/>
          <w:szCs w:val="20"/>
        </w:rPr>
        <w:t>revi</w:t>
      </w:r>
      <w:r w:rsidR="009C7559">
        <w:rPr>
          <w:rFonts w:ascii="Arial" w:hAnsi="Arial" w:cs="Arial"/>
          <w:sz w:val="20"/>
          <w:szCs w:val="20"/>
        </w:rPr>
        <w:t>sões</w:t>
      </w:r>
      <w:r w:rsidR="00F23325" w:rsidRPr="009D760E">
        <w:rPr>
          <w:rFonts w:ascii="Arial" w:hAnsi="Arial" w:cs="Arial"/>
          <w:sz w:val="20"/>
          <w:szCs w:val="20"/>
        </w:rPr>
        <w:t xml:space="preserve">, </w:t>
      </w:r>
      <w:r w:rsidR="0004516A" w:rsidRPr="009D760E">
        <w:rPr>
          <w:rFonts w:ascii="Arial" w:hAnsi="Arial" w:cs="Arial"/>
          <w:sz w:val="20"/>
          <w:szCs w:val="20"/>
        </w:rPr>
        <w:t xml:space="preserve">desde que devidamente justificadas, </w:t>
      </w:r>
      <w:r w:rsidR="009D760E" w:rsidRPr="009D760E">
        <w:rPr>
          <w:rFonts w:ascii="Arial" w:hAnsi="Arial" w:cs="Arial"/>
          <w:sz w:val="20"/>
          <w:szCs w:val="20"/>
        </w:rPr>
        <w:t xml:space="preserve">atendendo ao </w:t>
      </w:r>
      <w:r w:rsidR="00C43B49">
        <w:rPr>
          <w:rFonts w:ascii="Arial" w:hAnsi="Arial" w:cs="Arial"/>
          <w:sz w:val="20"/>
          <w:szCs w:val="20"/>
        </w:rPr>
        <w:t>§</w:t>
      </w:r>
      <w:r w:rsidR="00453979">
        <w:rPr>
          <w:rFonts w:ascii="Arial" w:hAnsi="Arial" w:cs="Arial"/>
          <w:sz w:val="20"/>
          <w:szCs w:val="20"/>
        </w:rPr>
        <w:t>1°</w:t>
      </w:r>
      <w:r w:rsidR="00C43B49">
        <w:rPr>
          <w:rFonts w:ascii="Arial" w:hAnsi="Arial" w:cs="Arial"/>
          <w:sz w:val="20"/>
          <w:szCs w:val="20"/>
        </w:rPr>
        <w:t xml:space="preserve"> do</w:t>
      </w:r>
      <w:r w:rsidR="009D760E" w:rsidRPr="009D760E">
        <w:rPr>
          <w:rFonts w:ascii="Arial" w:hAnsi="Arial" w:cs="Arial"/>
          <w:sz w:val="20"/>
          <w:szCs w:val="20"/>
        </w:rPr>
        <w:t xml:space="preserve"> art. 4º da Resolução CMN n° 3.9</w:t>
      </w:r>
      <w:r w:rsidR="009A4751">
        <w:rPr>
          <w:rFonts w:ascii="Arial" w:hAnsi="Arial" w:cs="Arial"/>
          <w:sz w:val="20"/>
          <w:szCs w:val="20"/>
        </w:rPr>
        <w:t>22</w:t>
      </w:r>
      <w:r w:rsidR="009D760E" w:rsidRPr="009D760E">
        <w:rPr>
          <w:rFonts w:ascii="Arial" w:hAnsi="Arial" w:cs="Arial"/>
          <w:sz w:val="20"/>
          <w:szCs w:val="20"/>
        </w:rPr>
        <w:t>/20</w:t>
      </w:r>
      <w:r w:rsidR="009A4751">
        <w:rPr>
          <w:rFonts w:ascii="Arial" w:hAnsi="Arial" w:cs="Arial"/>
          <w:sz w:val="20"/>
          <w:szCs w:val="20"/>
        </w:rPr>
        <w:t>10</w:t>
      </w:r>
      <w:r w:rsidR="009D760E" w:rsidRPr="009D760E">
        <w:rPr>
          <w:rFonts w:ascii="Arial" w:hAnsi="Arial" w:cs="Arial"/>
          <w:sz w:val="20"/>
          <w:szCs w:val="20"/>
        </w:rPr>
        <w:t>.</w:t>
      </w:r>
    </w:p>
    <w:p w:rsidR="00713FD1" w:rsidRPr="00276E57" w:rsidRDefault="00594D6B" w:rsidP="00E94AEF">
      <w:pPr>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362E5" w:rsidRPr="00276E57">
        <w:rPr>
          <w:rFonts w:ascii="Arial" w:hAnsi="Arial" w:cs="Arial"/>
          <w:sz w:val="20"/>
          <w:szCs w:val="20"/>
        </w:rPr>
        <w:t xml:space="preserve">A </w:t>
      </w:r>
      <w:r w:rsidR="0004516A" w:rsidRPr="00276E57">
        <w:rPr>
          <w:rFonts w:ascii="Arial" w:hAnsi="Arial" w:cs="Arial"/>
          <w:sz w:val="20"/>
          <w:szCs w:val="20"/>
        </w:rPr>
        <w:t>presente</w:t>
      </w:r>
      <w:r w:rsidR="004362E5" w:rsidRPr="00276E57">
        <w:rPr>
          <w:rFonts w:ascii="Arial" w:hAnsi="Arial" w:cs="Arial"/>
          <w:sz w:val="20"/>
          <w:szCs w:val="20"/>
        </w:rPr>
        <w:t xml:space="preserve"> Política de Investimentos </w:t>
      </w:r>
      <w:r w:rsidR="0004516A" w:rsidRPr="00276E57">
        <w:rPr>
          <w:rFonts w:ascii="Arial" w:hAnsi="Arial" w:cs="Arial"/>
          <w:sz w:val="20"/>
          <w:szCs w:val="20"/>
        </w:rPr>
        <w:t>deverá ser</w:t>
      </w:r>
      <w:r w:rsidR="00895FF5">
        <w:rPr>
          <w:rFonts w:ascii="Arial" w:hAnsi="Arial" w:cs="Arial"/>
          <w:sz w:val="20"/>
          <w:szCs w:val="20"/>
        </w:rPr>
        <w:t xml:space="preserve"> </w:t>
      </w:r>
      <w:r w:rsidR="00C0686B" w:rsidRPr="00276E57">
        <w:rPr>
          <w:rFonts w:ascii="Arial" w:hAnsi="Arial" w:cs="Arial"/>
          <w:sz w:val="20"/>
          <w:szCs w:val="20"/>
        </w:rPr>
        <w:t>aprova</w:t>
      </w:r>
      <w:r w:rsidR="00E94BC6" w:rsidRPr="00276E57">
        <w:rPr>
          <w:rFonts w:ascii="Arial" w:hAnsi="Arial" w:cs="Arial"/>
          <w:sz w:val="20"/>
          <w:szCs w:val="20"/>
        </w:rPr>
        <w:t>da</w:t>
      </w:r>
      <w:r w:rsidR="00895FF5">
        <w:rPr>
          <w:rFonts w:ascii="Arial" w:hAnsi="Arial" w:cs="Arial"/>
          <w:sz w:val="20"/>
          <w:szCs w:val="20"/>
        </w:rPr>
        <w:t xml:space="preserve"> </w:t>
      </w:r>
      <w:r w:rsidR="004362E5" w:rsidRPr="00276E57">
        <w:rPr>
          <w:rFonts w:ascii="Arial" w:hAnsi="Arial" w:cs="Arial"/>
          <w:sz w:val="20"/>
          <w:szCs w:val="20"/>
        </w:rPr>
        <w:t xml:space="preserve">pelo Conselho Estadual de Previdência da AMPREV </w:t>
      </w:r>
      <w:r w:rsidR="0004516A" w:rsidRPr="00276E57">
        <w:rPr>
          <w:rFonts w:ascii="Arial" w:hAnsi="Arial" w:cs="Arial"/>
          <w:sz w:val="20"/>
          <w:szCs w:val="20"/>
        </w:rPr>
        <w:t>até o encerramento do ano</w:t>
      </w:r>
      <w:r w:rsidR="00275674" w:rsidRPr="00276E57">
        <w:rPr>
          <w:rFonts w:ascii="Arial" w:hAnsi="Arial" w:cs="Arial"/>
          <w:sz w:val="20"/>
          <w:szCs w:val="20"/>
        </w:rPr>
        <w:t xml:space="preserve"> de 201</w:t>
      </w:r>
      <w:r w:rsidR="00B93E39">
        <w:rPr>
          <w:rFonts w:ascii="Arial" w:hAnsi="Arial" w:cs="Arial"/>
          <w:sz w:val="20"/>
          <w:szCs w:val="20"/>
        </w:rPr>
        <w:t>4</w:t>
      </w:r>
      <w:r w:rsidR="006E3408" w:rsidRPr="00276E57">
        <w:rPr>
          <w:rFonts w:ascii="Arial" w:hAnsi="Arial" w:cs="Arial"/>
          <w:sz w:val="20"/>
          <w:szCs w:val="20"/>
        </w:rPr>
        <w:t xml:space="preserve"> e posteriormente </w:t>
      </w:r>
      <w:r w:rsidR="00FE0B2D" w:rsidRPr="00276E57">
        <w:rPr>
          <w:rFonts w:ascii="Arial" w:hAnsi="Arial" w:cs="Arial"/>
          <w:sz w:val="20"/>
          <w:szCs w:val="20"/>
        </w:rPr>
        <w:t xml:space="preserve">enviada ao Ministério da Previdência Social através do </w:t>
      </w:r>
      <w:r w:rsidR="00FE0B2D" w:rsidRPr="00276E57">
        <w:rPr>
          <w:rFonts w:ascii="Arial" w:hAnsi="Arial" w:cs="Arial"/>
          <w:b/>
          <w:sz w:val="20"/>
          <w:szCs w:val="20"/>
        </w:rPr>
        <w:t>Demonstrativo da Política de Investimentos</w:t>
      </w:r>
      <w:r w:rsidR="00B93E39">
        <w:rPr>
          <w:rFonts w:ascii="Arial" w:hAnsi="Arial" w:cs="Arial"/>
          <w:b/>
          <w:sz w:val="20"/>
          <w:szCs w:val="20"/>
        </w:rPr>
        <w:t xml:space="preserve"> - DPIN</w:t>
      </w:r>
      <w:r w:rsidR="00FE0B2D" w:rsidRPr="00276E57">
        <w:rPr>
          <w:rFonts w:ascii="Arial" w:hAnsi="Arial" w:cs="Arial"/>
          <w:b/>
          <w:sz w:val="20"/>
          <w:szCs w:val="20"/>
        </w:rPr>
        <w:t>,</w:t>
      </w:r>
      <w:r w:rsidR="00FE0B2D" w:rsidRPr="00276E57">
        <w:rPr>
          <w:rFonts w:ascii="Arial" w:hAnsi="Arial" w:cs="Arial"/>
          <w:sz w:val="20"/>
          <w:szCs w:val="20"/>
        </w:rPr>
        <w:t xml:space="preserve"> inserido via eletrônica no site www.previdencia.gov.br</w:t>
      </w:r>
      <w:r w:rsidR="00C43B49" w:rsidRPr="00276E57">
        <w:rPr>
          <w:rFonts w:ascii="Arial" w:hAnsi="Arial" w:cs="Arial"/>
          <w:sz w:val="20"/>
          <w:szCs w:val="20"/>
        </w:rPr>
        <w:t>,</w:t>
      </w:r>
      <w:r w:rsidR="00FE0B2D" w:rsidRPr="00276E57">
        <w:rPr>
          <w:rFonts w:ascii="Arial" w:hAnsi="Arial" w:cs="Arial"/>
          <w:sz w:val="20"/>
          <w:szCs w:val="20"/>
        </w:rPr>
        <w:t xml:space="preserve"> conforme Portaria MPS n° 5</w:t>
      </w:r>
      <w:r w:rsidR="00C5009E" w:rsidRPr="00276E57">
        <w:rPr>
          <w:rFonts w:ascii="Arial" w:hAnsi="Arial" w:cs="Arial"/>
          <w:sz w:val="20"/>
          <w:szCs w:val="20"/>
        </w:rPr>
        <w:t>19</w:t>
      </w:r>
      <w:r w:rsidR="00FE0B2D" w:rsidRPr="00276E57">
        <w:rPr>
          <w:rFonts w:ascii="Arial" w:hAnsi="Arial" w:cs="Arial"/>
          <w:sz w:val="20"/>
          <w:szCs w:val="20"/>
        </w:rPr>
        <w:t xml:space="preserve">, de </w:t>
      </w:r>
      <w:r w:rsidR="00C5009E" w:rsidRPr="00276E57">
        <w:rPr>
          <w:rFonts w:ascii="Arial" w:hAnsi="Arial" w:cs="Arial"/>
          <w:sz w:val="20"/>
          <w:szCs w:val="20"/>
        </w:rPr>
        <w:t>24</w:t>
      </w:r>
      <w:r w:rsidR="00FE0B2D" w:rsidRPr="00276E57">
        <w:rPr>
          <w:rFonts w:ascii="Arial" w:hAnsi="Arial" w:cs="Arial"/>
          <w:sz w:val="20"/>
          <w:szCs w:val="20"/>
        </w:rPr>
        <w:t xml:space="preserve"> de </w:t>
      </w:r>
      <w:r w:rsidR="00C5009E" w:rsidRPr="00276E57">
        <w:rPr>
          <w:rFonts w:ascii="Arial" w:hAnsi="Arial" w:cs="Arial"/>
          <w:sz w:val="20"/>
          <w:szCs w:val="20"/>
        </w:rPr>
        <w:t>agosto</w:t>
      </w:r>
      <w:r w:rsidR="00FE0B2D" w:rsidRPr="00276E57">
        <w:rPr>
          <w:rFonts w:ascii="Arial" w:hAnsi="Arial" w:cs="Arial"/>
          <w:sz w:val="20"/>
          <w:szCs w:val="20"/>
        </w:rPr>
        <w:t xml:space="preserve"> de 20</w:t>
      </w:r>
      <w:r w:rsidR="00C5009E" w:rsidRPr="00276E57">
        <w:rPr>
          <w:rFonts w:ascii="Arial" w:hAnsi="Arial" w:cs="Arial"/>
          <w:sz w:val="20"/>
          <w:szCs w:val="20"/>
        </w:rPr>
        <w:t>11</w:t>
      </w:r>
      <w:r w:rsidR="00CE4B0C" w:rsidRPr="00276E57">
        <w:rPr>
          <w:rFonts w:ascii="Arial" w:hAnsi="Arial" w:cs="Arial"/>
          <w:sz w:val="20"/>
          <w:szCs w:val="20"/>
        </w:rPr>
        <w:t xml:space="preserve"> e suas alterações</w:t>
      </w:r>
      <w:r w:rsidR="00FE0B2D" w:rsidRPr="00276E57">
        <w:rPr>
          <w:rFonts w:ascii="Arial" w:hAnsi="Arial" w:cs="Arial"/>
          <w:sz w:val="20"/>
          <w:szCs w:val="20"/>
        </w:rPr>
        <w:t>.</w:t>
      </w:r>
    </w:p>
    <w:p w:rsidR="00E94AEF" w:rsidRPr="006E3408" w:rsidRDefault="00E94AEF" w:rsidP="00E94AEF">
      <w:pPr>
        <w:spacing w:after="120" w:line="312" w:lineRule="auto"/>
        <w:jc w:val="both"/>
        <w:rPr>
          <w:rFonts w:ascii="Arial" w:hAnsi="Arial" w:cs="Arial"/>
          <w:sz w:val="20"/>
          <w:szCs w:val="20"/>
        </w:rPr>
      </w:pPr>
    </w:p>
    <w:p w:rsidR="00574A12" w:rsidRPr="00CF0E68" w:rsidRDefault="00B17818" w:rsidP="00E94AEF">
      <w:pPr>
        <w:pStyle w:val="Ttulo1"/>
        <w:numPr>
          <w:ilvl w:val="0"/>
          <w:numId w:val="0"/>
        </w:numPr>
        <w:spacing w:before="0" w:after="120" w:line="312" w:lineRule="auto"/>
        <w:jc w:val="both"/>
        <w:rPr>
          <w:sz w:val="24"/>
          <w:szCs w:val="24"/>
        </w:rPr>
      </w:pPr>
      <w:bookmarkStart w:id="9" w:name="_Toc184817248"/>
      <w:r w:rsidRPr="00CF0E68">
        <w:rPr>
          <w:sz w:val="24"/>
          <w:szCs w:val="24"/>
        </w:rPr>
        <w:t>4</w:t>
      </w:r>
      <w:r w:rsidR="00594D6B">
        <w:rPr>
          <w:sz w:val="24"/>
          <w:szCs w:val="24"/>
        </w:rPr>
        <w:t xml:space="preserve"> - </w:t>
      </w:r>
      <w:r w:rsidR="00491B78" w:rsidRPr="00CF0E68">
        <w:rPr>
          <w:sz w:val="24"/>
          <w:szCs w:val="24"/>
        </w:rPr>
        <w:t>GESTÃO DOS RECURSOS</w:t>
      </w:r>
    </w:p>
    <w:bookmarkEnd w:id="9"/>
    <w:p w:rsidR="001F3D4E" w:rsidRPr="00594D6B" w:rsidRDefault="001F3D4E" w:rsidP="00E94AEF">
      <w:pPr>
        <w:autoSpaceDE w:val="0"/>
        <w:autoSpaceDN w:val="0"/>
        <w:adjustRightInd w:val="0"/>
        <w:spacing w:after="120" w:line="312" w:lineRule="auto"/>
        <w:rPr>
          <w:rFonts w:ascii="Arial" w:hAnsi="Arial" w:cs="Arial"/>
          <w:b/>
          <w:bCs/>
          <w:smallCaps/>
          <w:sz w:val="20"/>
          <w:szCs w:val="20"/>
        </w:rPr>
      </w:pPr>
      <w:r w:rsidRPr="00594D6B">
        <w:rPr>
          <w:rFonts w:ascii="Arial" w:hAnsi="Arial" w:cs="Arial"/>
          <w:b/>
          <w:bCs/>
          <w:smallCaps/>
          <w:sz w:val="20"/>
          <w:szCs w:val="20"/>
        </w:rPr>
        <w:t>4.1</w:t>
      </w:r>
      <w:r w:rsidR="00160340">
        <w:rPr>
          <w:rFonts w:ascii="Arial" w:hAnsi="Arial" w:cs="Arial"/>
          <w:b/>
          <w:bCs/>
          <w:smallCaps/>
          <w:sz w:val="20"/>
          <w:szCs w:val="20"/>
        </w:rPr>
        <w:t xml:space="preserve">. </w:t>
      </w:r>
      <w:r w:rsidR="00594D6B" w:rsidRPr="00D000EB">
        <w:rPr>
          <w:rFonts w:ascii="Arial" w:hAnsi="Arial" w:cs="Arial"/>
          <w:b/>
          <w:bCs/>
          <w:smallCaps/>
          <w:sz w:val="20"/>
          <w:szCs w:val="20"/>
        </w:rPr>
        <w:t>COMITÊ DE INVESTIMENTOS</w:t>
      </w:r>
      <w:r w:rsidR="00775F45">
        <w:rPr>
          <w:rFonts w:ascii="Arial" w:hAnsi="Arial" w:cs="Arial"/>
          <w:b/>
          <w:bCs/>
          <w:smallCaps/>
          <w:sz w:val="20"/>
          <w:szCs w:val="20"/>
        </w:rPr>
        <w:t>DA AMAPÁ PREVIDÊNCIA</w:t>
      </w:r>
      <w:r w:rsidR="00D000EB" w:rsidRPr="00D000EB">
        <w:rPr>
          <w:rFonts w:ascii="Arial" w:hAnsi="Arial" w:cs="Arial"/>
          <w:b/>
          <w:bCs/>
          <w:smallCaps/>
          <w:sz w:val="20"/>
          <w:szCs w:val="20"/>
        </w:rPr>
        <w:t xml:space="preserve"> - CIAP</w:t>
      </w:r>
    </w:p>
    <w:p w:rsidR="0004516A" w:rsidRPr="002A7349" w:rsidRDefault="00594D6B" w:rsidP="00E94AEF">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04516A" w:rsidRPr="00276E57">
        <w:rPr>
          <w:rFonts w:ascii="Arial" w:hAnsi="Arial" w:cs="Arial"/>
          <w:sz w:val="20"/>
          <w:szCs w:val="20"/>
        </w:rPr>
        <w:t>O Comitê de Investimentos da Amapá Previdência</w:t>
      </w:r>
      <w:r w:rsidR="00BF5A09">
        <w:rPr>
          <w:rFonts w:ascii="Arial" w:hAnsi="Arial" w:cs="Arial"/>
          <w:sz w:val="20"/>
          <w:szCs w:val="20"/>
        </w:rPr>
        <w:t xml:space="preserve">, constituído em conformidade com o disposto no Art. 3º-A, § 1º, alíneas “a” a “e” e Art. 6º, §§ 3º a 6º, da </w:t>
      </w:r>
      <w:r w:rsidR="00BF5A09" w:rsidRPr="00276E57">
        <w:rPr>
          <w:rFonts w:ascii="Arial" w:hAnsi="Arial" w:cs="Arial"/>
          <w:sz w:val="20"/>
          <w:szCs w:val="20"/>
        </w:rPr>
        <w:t>Portaria MPS n° 519, de 24 de agosto de 2011 e suas alterações</w:t>
      </w:r>
      <w:r w:rsidR="00BF5A09">
        <w:rPr>
          <w:rFonts w:ascii="Arial" w:hAnsi="Arial" w:cs="Arial"/>
          <w:sz w:val="20"/>
          <w:szCs w:val="20"/>
        </w:rPr>
        <w:t>,</w:t>
      </w:r>
      <w:r w:rsidR="0004516A" w:rsidRPr="00276E57">
        <w:rPr>
          <w:rFonts w:ascii="Arial" w:hAnsi="Arial" w:cs="Arial"/>
          <w:sz w:val="20"/>
          <w:szCs w:val="20"/>
        </w:rPr>
        <w:t xml:space="preserve"> tem como finalidade </w:t>
      </w:r>
      <w:r w:rsidR="0004516A" w:rsidRPr="001D3FEB">
        <w:rPr>
          <w:rFonts w:ascii="Arial" w:hAnsi="Arial" w:cs="Arial"/>
          <w:sz w:val="20"/>
          <w:szCs w:val="20"/>
        </w:rPr>
        <w:t xml:space="preserve">assessorar </w:t>
      </w:r>
      <w:r w:rsidR="002A7349" w:rsidRPr="001D3FEB">
        <w:rPr>
          <w:rFonts w:ascii="Arial" w:hAnsi="Arial" w:cs="Arial"/>
          <w:sz w:val="20"/>
          <w:szCs w:val="20"/>
        </w:rPr>
        <w:t xml:space="preserve">o Diretor-Presidente </w:t>
      </w:r>
      <w:r w:rsidR="0004516A" w:rsidRPr="001D3FEB">
        <w:rPr>
          <w:rFonts w:ascii="Arial" w:hAnsi="Arial" w:cs="Arial"/>
          <w:sz w:val="20"/>
          <w:szCs w:val="20"/>
        </w:rPr>
        <w:t>no</w:t>
      </w:r>
      <w:r w:rsidR="00CE4B0C" w:rsidRPr="001D3FEB">
        <w:rPr>
          <w:rFonts w:ascii="Arial" w:hAnsi="Arial" w:cs="Arial"/>
          <w:sz w:val="20"/>
          <w:szCs w:val="20"/>
        </w:rPr>
        <w:t xml:space="preserve"> processo de g</w:t>
      </w:r>
      <w:r w:rsidR="002A7349" w:rsidRPr="001D3FEB">
        <w:rPr>
          <w:rFonts w:ascii="Arial" w:hAnsi="Arial" w:cs="Arial"/>
          <w:sz w:val="20"/>
          <w:szCs w:val="20"/>
        </w:rPr>
        <w:t>estão de re</w:t>
      </w:r>
      <w:r w:rsidR="002A7349" w:rsidRPr="00276E57">
        <w:rPr>
          <w:rFonts w:ascii="Arial" w:hAnsi="Arial" w:cs="Arial"/>
          <w:sz w:val="20"/>
          <w:szCs w:val="20"/>
        </w:rPr>
        <w:t>cursos</w:t>
      </w:r>
      <w:r w:rsidR="0004516A" w:rsidRPr="00276E57">
        <w:rPr>
          <w:rFonts w:ascii="Arial" w:hAnsi="Arial" w:cs="Arial"/>
          <w:sz w:val="20"/>
          <w:szCs w:val="20"/>
        </w:rPr>
        <w:t xml:space="preserve"> no que tange aos investimentos e distri</w:t>
      </w:r>
      <w:r w:rsidR="00CE4B0C" w:rsidRPr="00276E57">
        <w:rPr>
          <w:rFonts w:ascii="Arial" w:hAnsi="Arial" w:cs="Arial"/>
          <w:sz w:val="20"/>
          <w:szCs w:val="20"/>
        </w:rPr>
        <w:t>bui</w:t>
      </w:r>
      <w:r w:rsidR="0004516A" w:rsidRPr="00276E57">
        <w:rPr>
          <w:rFonts w:ascii="Arial" w:hAnsi="Arial" w:cs="Arial"/>
          <w:sz w:val="20"/>
          <w:szCs w:val="20"/>
        </w:rPr>
        <w:t>ção dos fluxos de recursos financeiros administrados por terceiros, em conformidade com a presente Política de Investimentos</w:t>
      </w:r>
      <w:r w:rsidR="0004516A" w:rsidRPr="002A7349">
        <w:rPr>
          <w:rFonts w:ascii="Arial" w:hAnsi="Arial" w:cs="Arial"/>
          <w:sz w:val="20"/>
          <w:szCs w:val="20"/>
        </w:rPr>
        <w:t>.</w:t>
      </w:r>
    </w:p>
    <w:p w:rsidR="0057198F" w:rsidRDefault="00594D6B" w:rsidP="00594D6B">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3332BF" w:rsidRPr="007214E8">
        <w:rPr>
          <w:rFonts w:ascii="Arial" w:hAnsi="Arial" w:cs="Arial"/>
          <w:sz w:val="20"/>
          <w:szCs w:val="20"/>
        </w:rPr>
        <w:t xml:space="preserve">Os membros do Comitê </w:t>
      </w:r>
      <w:r w:rsidR="0050750C">
        <w:rPr>
          <w:rFonts w:ascii="Arial" w:hAnsi="Arial" w:cs="Arial"/>
          <w:sz w:val="20"/>
          <w:szCs w:val="20"/>
        </w:rPr>
        <w:t xml:space="preserve">de Investimentos </w:t>
      </w:r>
      <w:r w:rsidR="003332BF" w:rsidRPr="007214E8">
        <w:rPr>
          <w:rFonts w:ascii="Arial" w:hAnsi="Arial" w:cs="Arial"/>
          <w:sz w:val="20"/>
          <w:szCs w:val="20"/>
        </w:rPr>
        <w:t xml:space="preserve">terão acesso </w:t>
      </w:r>
      <w:r w:rsidR="00CE4B0C" w:rsidRPr="007214E8">
        <w:rPr>
          <w:rFonts w:ascii="Arial" w:hAnsi="Arial" w:cs="Arial"/>
          <w:sz w:val="20"/>
          <w:szCs w:val="20"/>
        </w:rPr>
        <w:t>às</w:t>
      </w:r>
      <w:r w:rsidR="003332BF" w:rsidRPr="007214E8">
        <w:rPr>
          <w:rFonts w:ascii="Arial" w:hAnsi="Arial" w:cs="Arial"/>
          <w:sz w:val="20"/>
          <w:szCs w:val="20"/>
        </w:rPr>
        <w:t xml:space="preserve"> informações financeiras pertinentes a todo e qualquer investimento de recursos da AMPREV</w:t>
      </w:r>
      <w:r w:rsidR="00115318" w:rsidRPr="007214E8">
        <w:rPr>
          <w:rFonts w:ascii="Arial" w:hAnsi="Arial" w:cs="Arial"/>
          <w:sz w:val="20"/>
          <w:szCs w:val="20"/>
        </w:rPr>
        <w:t xml:space="preserve">, </w:t>
      </w:r>
      <w:r w:rsidR="00831BBA" w:rsidRPr="007214E8">
        <w:rPr>
          <w:rFonts w:ascii="Arial" w:hAnsi="Arial" w:cs="Arial"/>
          <w:sz w:val="20"/>
          <w:szCs w:val="20"/>
        </w:rPr>
        <w:t>podendo solicitar</w:t>
      </w:r>
      <w:r w:rsidR="00C43B49">
        <w:rPr>
          <w:rFonts w:ascii="Arial" w:hAnsi="Arial" w:cs="Arial"/>
          <w:sz w:val="20"/>
          <w:szCs w:val="20"/>
        </w:rPr>
        <w:t>,</w:t>
      </w:r>
      <w:r w:rsidR="009C69BD" w:rsidRPr="007214E8">
        <w:rPr>
          <w:rFonts w:ascii="Arial" w:hAnsi="Arial" w:cs="Arial"/>
          <w:sz w:val="20"/>
          <w:szCs w:val="20"/>
        </w:rPr>
        <w:t xml:space="preserve">a </w:t>
      </w:r>
      <w:r w:rsidR="00831BBA" w:rsidRPr="007214E8">
        <w:rPr>
          <w:rFonts w:ascii="Arial" w:hAnsi="Arial" w:cs="Arial"/>
          <w:sz w:val="20"/>
          <w:szCs w:val="20"/>
        </w:rPr>
        <w:t xml:space="preserve">qualquer </w:t>
      </w:r>
      <w:r w:rsidR="0074603E" w:rsidRPr="007214E8">
        <w:rPr>
          <w:rFonts w:ascii="Arial" w:hAnsi="Arial" w:cs="Arial"/>
          <w:sz w:val="20"/>
          <w:szCs w:val="20"/>
        </w:rPr>
        <w:t>momento</w:t>
      </w:r>
      <w:r w:rsidR="00C43B49">
        <w:rPr>
          <w:rFonts w:ascii="Arial" w:hAnsi="Arial" w:cs="Arial"/>
          <w:sz w:val="20"/>
          <w:szCs w:val="20"/>
        </w:rPr>
        <w:t>,</w:t>
      </w:r>
      <w:r w:rsidR="00831BBA" w:rsidRPr="007214E8">
        <w:rPr>
          <w:rFonts w:ascii="Arial" w:hAnsi="Arial" w:cs="Arial"/>
          <w:sz w:val="20"/>
          <w:szCs w:val="20"/>
        </w:rPr>
        <w:t xml:space="preserve"> ta</w:t>
      </w:r>
      <w:r w:rsidR="0074603E" w:rsidRPr="007214E8">
        <w:rPr>
          <w:rFonts w:ascii="Arial" w:hAnsi="Arial" w:cs="Arial"/>
          <w:sz w:val="20"/>
          <w:szCs w:val="20"/>
        </w:rPr>
        <w:t>i</w:t>
      </w:r>
      <w:r w:rsidR="00831BBA" w:rsidRPr="007214E8">
        <w:rPr>
          <w:rFonts w:ascii="Arial" w:hAnsi="Arial" w:cs="Arial"/>
          <w:sz w:val="20"/>
          <w:szCs w:val="20"/>
        </w:rPr>
        <w:t xml:space="preserve">s informações para </w:t>
      </w:r>
      <w:r w:rsidR="00BF5A09">
        <w:rPr>
          <w:rFonts w:ascii="Arial" w:hAnsi="Arial" w:cs="Arial"/>
          <w:sz w:val="20"/>
          <w:szCs w:val="20"/>
        </w:rPr>
        <w:t>subsidiar</w:t>
      </w:r>
      <w:r w:rsidR="00831BBA" w:rsidRPr="007214E8">
        <w:rPr>
          <w:rFonts w:ascii="Arial" w:hAnsi="Arial" w:cs="Arial"/>
          <w:sz w:val="20"/>
          <w:szCs w:val="20"/>
        </w:rPr>
        <w:t xml:space="preserve"> seu trabalho</w:t>
      </w:r>
      <w:r w:rsidR="0057198F">
        <w:rPr>
          <w:rFonts w:ascii="Arial" w:hAnsi="Arial" w:cs="Arial"/>
          <w:sz w:val="20"/>
          <w:szCs w:val="20"/>
        </w:rPr>
        <w:t>.</w:t>
      </w:r>
    </w:p>
    <w:p w:rsidR="001B2458" w:rsidRDefault="00594D6B" w:rsidP="00594D6B">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57198F">
        <w:rPr>
          <w:rFonts w:ascii="Arial" w:hAnsi="Arial" w:cs="Arial"/>
          <w:sz w:val="20"/>
          <w:szCs w:val="20"/>
        </w:rPr>
        <w:t>A</w:t>
      </w:r>
      <w:r w:rsidR="0057198F" w:rsidRPr="00E34AB1">
        <w:rPr>
          <w:rFonts w:ascii="Arial" w:hAnsi="Arial" w:cs="Arial"/>
          <w:sz w:val="20"/>
          <w:szCs w:val="20"/>
        </w:rPr>
        <w:t xml:space="preserve"> finalidade e competência do Comitê </w:t>
      </w:r>
      <w:r w:rsidR="0057198F">
        <w:rPr>
          <w:rFonts w:ascii="Arial" w:hAnsi="Arial" w:cs="Arial"/>
          <w:sz w:val="20"/>
          <w:szCs w:val="20"/>
        </w:rPr>
        <w:t>de Inv</w:t>
      </w:r>
      <w:r w:rsidR="00BB1683">
        <w:rPr>
          <w:rFonts w:ascii="Arial" w:hAnsi="Arial" w:cs="Arial"/>
          <w:sz w:val="20"/>
          <w:szCs w:val="20"/>
        </w:rPr>
        <w:t>estimentos da Amapá Previdência</w:t>
      </w:r>
      <w:r w:rsidR="0057198F">
        <w:rPr>
          <w:rFonts w:ascii="Arial" w:hAnsi="Arial" w:cs="Arial"/>
          <w:sz w:val="20"/>
          <w:szCs w:val="20"/>
        </w:rPr>
        <w:t xml:space="preserve"> encontra</w:t>
      </w:r>
      <w:r w:rsidR="00D53F7F">
        <w:rPr>
          <w:rFonts w:ascii="Arial" w:hAnsi="Arial" w:cs="Arial"/>
          <w:sz w:val="20"/>
          <w:szCs w:val="20"/>
        </w:rPr>
        <w:t>m</w:t>
      </w:r>
      <w:r w:rsidR="00BB1683">
        <w:rPr>
          <w:rFonts w:ascii="Arial" w:hAnsi="Arial" w:cs="Arial"/>
          <w:sz w:val="20"/>
          <w:szCs w:val="20"/>
        </w:rPr>
        <w:t>-se</w:t>
      </w:r>
      <w:r w:rsidR="00895FF5">
        <w:rPr>
          <w:rFonts w:ascii="Arial" w:hAnsi="Arial" w:cs="Arial"/>
          <w:sz w:val="20"/>
          <w:szCs w:val="20"/>
        </w:rPr>
        <w:t xml:space="preserve"> </w:t>
      </w:r>
      <w:r w:rsidR="00BB1683">
        <w:rPr>
          <w:rFonts w:ascii="Arial" w:hAnsi="Arial" w:cs="Arial"/>
          <w:sz w:val="20"/>
          <w:szCs w:val="20"/>
        </w:rPr>
        <w:t xml:space="preserve">definidos </w:t>
      </w:r>
      <w:r w:rsidR="0057198F">
        <w:rPr>
          <w:rFonts w:ascii="Arial" w:hAnsi="Arial" w:cs="Arial"/>
          <w:sz w:val="20"/>
          <w:szCs w:val="20"/>
        </w:rPr>
        <w:t>em seu</w:t>
      </w:r>
      <w:r w:rsidR="00895FF5">
        <w:rPr>
          <w:rFonts w:ascii="Arial" w:hAnsi="Arial" w:cs="Arial"/>
          <w:sz w:val="20"/>
          <w:szCs w:val="20"/>
        </w:rPr>
        <w:t xml:space="preserve"> </w:t>
      </w:r>
      <w:r w:rsidR="0057198F">
        <w:rPr>
          <w:rFonts w:ascii="Arial" w:hAnsi="Arial" w:cs="Arial"/>
          <w:sz w:val="20"/>
          <w:szCs w:val="20"/>
        </w:rPr>
        <w:t>R</w:t>
      </w:r>
      <w:r w:rsidR="0004516A" w:rsidRPr="00E34AB1">
        <w:rPr>
          <w:rFonts w:ascii="Arial" w:hAnsi="Arial" w:cs="Arial"/>
          <w:sz w:val="20"/>
          <w:szCs w:val="20"/>
        </w:rPr>
        <w:t>egulamento</w:t>
      </w:r>
      <w:r w:rsidR="0057198F">
        <w:rPr>
          <w:rFonts w:ascii="Arial" w:hAnsi="Arial" w:cs="Arial"/>
          <w:sz w:val="20"/>
          <w:szCs w:val="20"/>
        </w:rPr>
        <w:t xml:space="preserve">, </w:t>
      </w:r>
      <w:r w:rsidR="0004516A" w:rsidRPr="00E34AB1">
        <w:rPr>
          <w:rFonts w:ascii="Arial" w:hAnsi="Arial" w:cs="Arial"/>
          <w:sz w:val="20"/>
          <w:szCs w:val="20"/>
        </w:rPr>
        <w:t xml:space="preserve">publicado no Diário Oficial do Estado nº </w:t>
      </w:r>
      <w:r w:rsidR="00E34AB1" w:rsidRPr="00E34AB1">
        <w:rPr>
          <w:rFonts w:ascii="Arial" w:hAnsi="Arial" w:cs="Arial"/>
          <w:sz w:val="20"/>
          <w:szCs w:val="20"/>
        </w:rPr>
        <w:t>4471</w:t>
      </w:r>
      <w:r w:rsidR="005D7C2E">
        <w:rPr>
          <w:rFonts w:ascii="Arial" w:hAnsi="Arial" w:cs="Arial"/>
          <w:sz w:val="20"/>
          <w:szCs w:val="20"/>
        </w:rPr>
        <w:t>,</w:t>
      </w:r>
      <w:r w:rsidR="0004516A" w:rsidRPr="00E34AB1">
        <w:rPr>
          <w:rFonts w:ascii="Arial" w:hAnsi="Arial" w:cs="Arial"/>
          <w:sz w:val="20"/>
          <w:szCs w:val="20"/>
        </w:rPr>
        <w:t xml:space="preserve"> de </w:t>
      </w:r>
      <w:r w:rsidR="00E34AB1" w:rsidRPr="00E34AB1">
        <w:rPr>
          <w:rFonts w:ascii="Arial" w:hAnsi="Arial" w:cs="Arial"/>
          <w:sz w:val="20"/>
          <w:szCs w:val="20"/>
        </w:rPr>
        <w:t>06</w:t>
      </w:r>
      <w:r w:rsidR="0004516A" w:rsidRPr="00E34AB1">
        <w:rPr>
          <w:rFonts w:ascii="Arial" w:hAnsi="Arial" w:cs="Arial"/>
          <w:sz w:val="20"/>
          <w:szCs w:val="20"/>
        </w:rPr>
        <w:t>/</w:t>
      </w:r>
      <w:r w:rsidR="00E34AB1" w:rsidRPr="00E34AB1">
        <w:rPr>
          <w:rFonts w:ascii="Arial" w:hAnsi="Arial" w:cs="Arial"/>
          <w:sz w:val="20"/>
          <w:szCs w:val="20"/>
        </w:rPr>
        <w:t>04</w:t>
      </w:r>
      <w:r w:rsidR="0057198F">
        <w:rPr>
          <w:rFonts w:ascii="Arial" w:hAnsi="Arial" w:cs="Arial"/>
          <w:sz w:val="20"/>
          <w:szCs w:val="20"/>
        </w:rPr>
        <w:t>/2009.</w:t>
      </w:r>
    </w:p>
    <w:p w:rsidR="00CC6674" w:rsidRDefault="00594D6B" w:rsidP="00594D6B">
      <w:pPr>
        <w:autoSpaceDE w:val="0"/>
        <w:autoSpaceDN w:val="0"/>
        <w:adjustRightInd w:val="0"/>
        <w:spacing w:after="120" w:line="312"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5D7C2E">
        <w:rPr>
          <w:rFonts w:ascii="Arial" w:hAnsi="Arial" w:cs="Arial"/>
          <w:color w:val="000000"/>
          <w:sz w:val="20"/>
          <w:szCs w:val="20"/>
        </w:rPr>
        <w:t xml:space="preserve">O CIAP deverá comunicar o CEP </w:t>
      </w:r>
      <w:r w:rsidR="001B2458" w:rsidRPr="002760AA">
        <w:rPr>
          <w:rFonts w:ascii="Arial" w:hAnsi="Arial" w:cs="Arial"/>
          <w:color w:val="000000"/>
          <w:sz w:val="20"/>
          <w:szCs w:val="20"/>
        </w:rPr>
        <w:t>sempre que houver necessidade de ajustes perante o comportamento/conjuntura do mercado e/ou quando se apresent</w:t>
      </w:r>
      <w:r w:rsidR="00BB1683">
        <w:rPr>
          <w:rFonts w:ascii="Arial" w:hAnsi="Arial" w:cs="Arial"/>
          <w:color w:val="000000"/>
          <w:sz w:val="20"/>
          <w:szCs w:val="20"/>
        </w:rPr>
        <w:t>e relevante seu</w:t>
      </w:r>
      <w:r w:rsidR="001B2458" w:rsidRPr="002760AA">
        <w:rPr>
          <w:rFonts w:ascii="Arial" w:hAnsi="Arial" w:cs="Arial"/>
          <w:color w:val="000000"/>
          <w:sz w:val="20"/>
          <w:szCs w:val="20"/>
        </w:rPr>
        <w:t xml:space="preserve"> interesse </w:t>
      </w:r>
      <w:r w:rsidR="00BB1683">
        <w:rPr>
          <w:rFonts w:ascii="Arial" w:hAnsi="Arial" w:cs="Arial"/>
          <w:color w:val="000000"/>
          <w:sz w:val="20"/>
          <w:szCs w:val="20"/>
        </w:rPr>
        <w:t>n</w:t>
      </w:r>
      <w:r w:rsidR="001B2458" w:rsidRPr="002760AA">
        <w:rPr>
          <w:rFonts w:ascii="Arial" w:hAnsi="Arial" w:cs="Arial"/>
          <w:color w:val="000000"/>
          <w:sz w:val="20"/>
          <w:szCs w:val="20"/>
        </w:rPr>
        <w:t>a preservação dos ativos financeiros da AMPREV.</w:t>
      </w:r>
    </w:p>
    <w:p w:rsidR="00594D6B" w:rsidRPr="00594D6B" w:rsidRDefault="00594D6B" w:rsidP="00594D6B">
      <w:pPr>
        <w:autoSpaceDE w:val="0"/>
        <w:autoSpaceDN w:val="0"/>
        <w:adjustRightInd w:val="0"/>
        <w:spacing w:after="120" w:line="312" w:lineRule="auto"/>
        <w:jc w:val="both"/>
        <w:rPr>
          <w:rFonts w:ascii="Arial" w:hAnsi="Arial" w:cs="Arial"/>
          <w:color w:val="000000"/>
          <w:sz w:val="20"/>
          <w:szCs w:val="20"/>
        </w:rPr>
      </w:pPr>
    </w:p>
    <w:p w:rsidR="00F215CA" w:rsidRPr="00594D6B" w:rsidRDefault="00B17818" w:rsidP="00594D6B">
      <w:pPr>
        <w:autoSpaceDE w:val="0"/>
        <w:autoSpaceDN w:val="0"/>
        <w:adjustRightInd w:val="0"/>
        <w:spacing w:after="120"/>
        <w:rPr>
          <w:rFonts w:ascii="Arial" w:hAnsi="Arial" w:cs="Arial"/>
          <w:b/>
          <w:bCs/>
          <w:smallCaps/>
          <w:sz w:val="20"/>
          <w:szCs w:val="20"/>
        </w:rPr>
      </w:pPr>
      <w:r w:rsidRPr="00594D6B">
        <w:rPr>
          <w:rFonts w:ascii="Arial" w:hAnsi="Arial" w:cs="Arial"/>
          <w:b/>
          <w:bCs/>
          <w:sz w:val="20"/>
          <w:szCs w:val="20"/>
        </w:rPr>
        <w:t>4</w:t>
      </w:r>
      <w:r w:rsidR="00EB036E" w:rsidRPr="00594D6B">
        <w:rPr>
          <w:rFonts w:ascii="Arial" w:hAnsi="Arial" w:cs="Arial"/>
          <w:b/>
          <w:bCs/>
          <w:sz w:val="20"/>
          <w:szCs w:val="20"/>
        </w:rPr>
        <w:t>.</w:t>
      </w:r>
      <w:r w:rsidR="00CA630F" w:rsidRPr="00594D6B">
        <w:rPr>
          <w:rFonts w:ascii="Arial" w:hAnsi="Arial" w:cs="Arial"/>
          <w:b/>
          <w:bCs/>
          <w:sz w:val="20"/>
          <w:szCs w:val="20"/>
        </w:rPr>
        <w:t>2</w:t>
      </w:r>
      <w:r w:rsidR="0007016E">
        <w:rPr>
          <w:rFonts w:ascii="Arial" w:hAnsi="Arial" w:cs="Arial"/>
          <w:b/>
          <w:bCs/>
          <w:sz w:val="20"/>
          <w:szCs w:val="20"/>
        </w:rPr>
        <w:t>.</w:t>
      </w:r>
      <w:r w:rsidR="00DF79E1">
        <w:rPr>
          <w:rFonts w:ascii="Arial" w:hAnsi="Arial" w:cs="Arial"/>
          <w:b/>
          <w:bCs/>
          <w:sz w:val="20"/>
          <w:szCs w:val="20"/>
        </w:rPr>
        <w:t xml:space="preserve"> </w:t>
      </w:r>
      <w:r w:rsidR="00594D6B" w:rsidRPr="00594D6B">
        <w:rPr>
          <w:rFonts w:ascii="Arial" w:hAnsi="Arial" w:cs="Arial"/>
          <w:b/>
          <w:bCs/>
          <w:sz w:val="20"/>
          <w:szCs w:val="20"/>
        </w:rPr>
        <w:t>DEFINIÇÃO DA APLICAÇÃO DE RECURSOS</w:t>
      </w:r>
      <w:r w:rsidR="00701B88" w:rsidRPr="00594D6B">
        <w:rPr>
          <w:rFonts w:ascii="Arial" w:hAnsi="Arial" w:cs="Arial"/>
          <w:b/>
          <w:bCs/>
          <w:smallCaps/>
          <w:sz w:val="20"/>
          <w:szCs w:val="20"/>
        </w:rPr>
        <w:tab/>
      </w:r>
    </w:p>
    <w:p w:rsidR="00FF6108" w:rsidRDefault="00594D6B" w:rsidP="00594D6B">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F215CA" w:rsidRPr="00276E57">
        <w:rPr>
          <w:rFonts w:ascii="Arial" w:hAnsi="Arial" w:cs="Arial"/>
          <w:sz w:val="20"/>
          <w:szCs w:val="20"/>
        </w:rPr>
        <w:t xml:space="preserve">Conforme determina </w:t>
      </w:r>
      <w:r w:rsidR="00C57D07" w:rsidRPr="00276E57">
        <w:rPr>
          <w:rFonts w:ascii="Arial" w:hAnsi="Arial" w:cs="Arial"/>
          <w:sz w:val="20"/>
          <w:szCs w:val="20"/>
        </w:rPr>
        <w:t xml:space="preserve">o </w:t>
      </w:r>
      <w:r w:rsidR="0050750C" w:rsidRPr="00276E57">
        <w:rPr>
          <w:rFonts w:ascii="Arial" w:hAnsi="Arial" w:cs="Arial"/>
          <w:sz w:val="20"/>
          <w:szCs w:val="20"/>
        </w:rPr>
        <w:t>inciso II</w:t>
      </w:r>
      <w:r w:rsidR="00BB1683" w:rsidRPr="00276E57">
        <w:rPr>
          <w:rFonts w:ascii="Arial" w:hAnsi="Arial" w:cs="Arial"/>
          <w:sz w:val="20"/>
          <w:szCs w:val="20"/>
        </w:rPr>
        <w:t xml:space="preserve"> do</w:t>
      </w:r>
      <w:r w:rsidR="00895FF5">
        <w:rPr>
          <w:rFonts w:ascii="Arial" w:hAnsi="Arial" w:cs="Arial"/>
          <w:sz w:val="20"/>
          <w:szCs w:val="20"/>
        </w:rPr>
        <w:t xml:space="preserve"> </w:t>
      </w:r>
      <w:r w:rsidR="00C57D07" w:rsidRPr="00276E57">
        <w:rPr>
          <w:rFonts w:ascii="Arial" w:hAnsi="Arial" w:cs="Arial"/>
          <w:sz w:val="20"/>
          <w:szCs w:val="20"/>
        </w:rPr>
        <w:t>art. 103da Lei</w:t>
      </w:r>
      <w:r w:rsidR="00895FF5">
        <w:rPr>
          <w:rFonts w:ascii="Arial" w:hAnsi="Arial" w:cs="Arial"/>
          <w:sz w:val="20"/>
          <w:szCs w:val="20"/>
        </w:rPr>
        <w:t xml:space="preserve"> </w:t>
      </w:r>
      <w:r w:rsidR="00C57D07" w:rsidRPr="00276E57">
        <w:rPr>
          <w:rFonts w:ascii="Arial" w:hAnsi="Arial" w:cs="Arial"/>
          <w:sz w:val="20"/>
          <w:szCs w:val="20"/>
        </w:rPr>
        <w:t>Estadual n</w:t>
      </w:r>
      <w:r w:rsidR="00937B76" w:rsidRPr="00276E57">
        <w:rPr>
          <w:rFonts w:ascii="Arial" w:hAnsi="Arial" w:cs="Arial"/>
          <w:sz w:val="20"/>
          <w:szCs w:val="20"/>
        </w:rPr>
        <w:t>°</w:t>
      </w:r>
      <w:r w:rsidR="00C57D07" w:rsidRPr="00276E57">
        <w:rPr>
          <w:rFonts w:ascii="Arial" w:hAnsi="Arial" w:cs="Arial"/>
          <w:sz w:val="20"/>
          <w:szCs w:val="20"/>
        </w:rPr>
        <w:t xml:space="preserve"> 0</w:t>
      </w:r>
      <w:r w:rsidR="00F41E33" w:rsidRPr="00276E57">
        <w:rPr>
          <w:rFonts w:ascii="Arial" w:hAnsi="Arial" w:cs="Arial"/>
          <w:sz w:val="20"/>
          <w:szCs w:val="20"/>
        </w:rPr>
        <w:t>915</w:t>
      </w:r>
      <w:r w:rsidR="00C57D07" w:rsidRPr="00276E57">
        <w:rPr>
          <w:rFonts w:ascii="Arial" w:hAnsi="Arial" w:cs="Arial"/>
          <w:sz w:val="20"/>
          <w:szCs w:val="20"/>
        </w:rPr>
        <w:t>/2005</w:t>
      </w:r>
      <w:r w:rsidR="00402FD1">
        <w:rPr>
          <w:rFonts w:ascii="Arial" w:hAnsi="Arial" w:cs="Arial"/>
          <w:sz w:val="20"/>
          <w:szCs w:val="20"/>
        </w:rPr>
        <w:t xml:space="preserve"> </w:t>
      </w:r>
      <w:r w:rsidR="00E8725B" w:rsidRPr="00276E57">
        <w:rPr>
          <w:rFonts w:ascii="Arial" w:hAnsi="Arial" w:cs="Arial"/>
          <w:sz w:val="20"/>
          <w:szCs w:val="20"/>
        </w:rPr>
        <w:t xml:space="preserve">e </w:t>
      </w:r>
      <w:r w:rsidR="0050750C" w:rsidRPr="00276E57">
        <w:rPr>
          <w:rFonts w:ascii="Arial" w:hAnsi="Arial" w:cs="Arial"/>
          <w:sz w:val="20"/>
          <w:szCs w:val="20"/>
        </w:rPr>
        <w:t xml:space="preserve">incisos I e II </w:t>
      </w:r>
      <w:r w:rsidR="00CE4B0C" w:rsidRPr="00276E57">
        <w:rPr>
          <w:rFonts w:ascii="Arial" w:hAnsi="Arial" w:cs="Arial"/>
          <w:sz w:val="20"/>
          <w:szCs w:val="20"/>
        </w:rPr>
        <w:t xml:space="preserve">do </w:t>
      </w:r>
      <w:r w:rsidR="00C57D07" w:rsidRPr="00276E57">
        <w:rPr>
          <w:rFonts w:ascii="Arial" w:hAnsi="Arial" w:cs="Arial"/>
          <w:sz w:val="20"/>
          <w:szCs w:val="20"/>
        </w:rPr>
        <w:t>art. 3º do</w:t>
      </w:r>
      <w:r w:rsidR="00895FF5">
        <w:rPr>
          <w:rFonts w:ascii="Arial" w:hAnsi="Arial" w:cs="Arial"/>
          <w:sz w:val="20"/>
          <w:szCs w:val="20"/>
        </w:rPr>
        <w:t xml:space="preserve"> </w:t>
      </w:r>
      <w:r w:rsidR="00C57D07" w:rsidRPr="00276E57">
        <w:rPr>
          <w:rFonts w:ascii="Arial" w:hAnsi="Arial" w:cs="Arial"/>
          <w:sz w:val="20"/>
          <w:szCs w:val="20"/>
        </w:rPr>
        <w:t>R</w:t>
      </w:r>
      <w:r w:rsidR="00F41E33" w:rsidRPr="00276E57">
        <w:rPr>
          <w:rFonts w:ascii="Arial" w:hAnsi="Arial" w:cs="Arial"/>
          <w:sz w:val="20"/>
          <w:szCs w:val="20"/>
        </w:rPr>
        <w:t xml:space="preserve">egimento </w:t>
      </w:r>
      <w:r w:rsidR="00C57D07" w:rsidRPr="00276E57">
        <w:rPr>
          <w:rFonts w:ascii="Arial" w:hAnsi="Arial" w:cs="Arial"/>
          <w:sz w:val="20"/>
          <w:szCs w:val="20"/>
        </w:rPr>
        <w:t>I</w:t>
      </w:r>
      <w:r w:rsidR="00F41E33" w:rsidRPr="00276E57">
        <w:rPr>
          <w:rFonts w:ascii="Arial" w:hAnsi="Arial" w:cs="Arial"/>
          <w:sz w:val="20"/>
          <w:szCs w:val="20"/>
        </w:rPr>
        <w:t xml:space="preserve">nterno do </w:t>
      </w:r>
      <w:bookmarkStart w:id="10" w:name="OLE_LINK1"/>
      <w:bookmarkStart w:id="11" w:name="OLE_LINK2"/>
      <w:r w:rsidR="00C57D07" w:rsidRPr="00276E57">
        <w:rPr>
          <w:rFonts w:ascii="Arial" w:hAnsi="Arial" w:cs="Arial"/>
          <w:sz w:val="20"/>
          <w:szCs w:val="20"/>
        </w:rPr>
        <w:t>C</w:t>
      </w:r>
      <w:r w:rsidR="00F41E33" w:rsidRPr="00276E57">
        <w:rPr>
          <w:rFonts w:ascii="Arial" w:hAnsi="Arial" w:cs="Arial"/>
          <w:sz w:val="20"/>
          <w:szCs w:val="20"/>
        </w:rPr>
        <w:t xml:space="preserve">onselho </w:t>
      </w:r>
      <w:r w:rsidR="00C57D07" w:rsidRPr="00276E57">
        <w:rPr>
          <w:rFonts w:ascii="Arial" w:hAnsi="Arial" w:cs="Arial"/>
          <w:sz w:val="20"/>
          <w:szCs w:val="20"/>
        </w:rPr>
        <w:t>E</w:t>
      </w:r>
      <w:r w:rsidR="00F41E33" w:rsidRPr="00276E57">
        <w:rPr>
          <w:rFonts w:ascii="Arial" w:hAnsi="Arial" w:cs="Arial"/>
          <w:sz w:val="20"/>
          <w:szCs w:val="20"/>
        </w:rPr>
        <w:t xml:space="preserve">stadual de </w:t>
      </w:r>
      <w:r w:rsidR="00C57D07" w:rsidRPr="00276E57">
        <w:rPr>
          <w:rFonts w:ascii="Arial" w:hAnsi="Arial" w:cs="Arial"/>
          <w:sz w:val="20"/>
          <w:szCs w:val="20"/>
        </w:rPr>
        <w:t>P</w:t>
      </w:r>
      <w:r w:rsidR="00F41E33" w:rsidRPr="00276E57">
        <w:rPr>
          <w:rFonts w:ascii="Arial" w:hAnsi="Arial" w:cs="Arial"/>
          <w:sz w:val="20"/>
          <w:szCs w:val="20"/>
        </w:rPr>
        <w:t>revid</w:t>
      </w:r>
      <w:r w:rsidR="00C57D07" w:rsidRPr="00276E57">
        <w:rPr>
          <w:rFonts w:ascii="Arial" w:hAnsi="Arial" w:cs="Arial"/>
          <w:sz w:val="20"/>
          <w:szCs w:val="20"/>
        </w:rPr>
        <w:t>ência</w:t>
      </w:r>
      <w:bookmarkEnd w:id="10"/>
      <w:bookmarkEnd w:id="11"/>
      <w:r w:rsidR="00F215CA" w:rsidRPr="00276E57">
        <w:rPr>
          <w:rFonts w:ascii="Arial" w:hAnsi="Arial" w:cs="Arial"/>
          <w:sz w:val="20"/>
          <w:szCs w:val="20"/>
        </w:rPr>
        <w:t xml:space="preserve">, </w:t>
      </w:r>
      <w:r w:rsidR="00E8725B" w:rsidRPr="00276E57">
        <w:rPr>
          <w:rFonts w:ascii="Arial" w:hAnsi="Arial" w:cs="Arial"/>
          <w:sz w:val="20"/>
          <w:szCs w:val="20"/>
        </w:rPr>
        <w:t xml:space="preserve">é </w:t>
      </w:r>
      <w:r w:rsidR="00BB1683" w:rsidRPr="00276E57">
        <w:rPr>
          <w:rFonts w:ascii="Arial" w:hAnsi="Arial" w:cs="Arial"/>
          <w:sz w:val="20"/>
          <w:szCs w:val="20"/>
        </w:rPr>
        <w:t xml:space="preserve">de </w:t>
      </w:r>
      <w:r w:rsidR="00F215CA" w:rsidRPr="00276E57">
        <w:rPr>
          <w:rFonts w:ascii="Arial" w:hAnsi="Arial" w:cs="Arial"/>
          <w:sz w:val="20"/>
          <w:szCs w:val="20"/>
        </w:rPr>
        <w:t>competênc</w:t>
      </w:r>
      <w:r w:rsidR="00F41E33" w:rsidRPr="00276E57">
        <w:rPr>
          <w:rFonts w:ascii="Arial" w:hAnsi="Arial" w:cs="Arial"/>
          <w:sz w:val="20"/>
          <w:szCs w:val="20"/>
        </w:rPr>
        <w:t xml:space="preserve">ia </w:t>
      </w:r>
      <w:r w:rsidR="00E8725B" w:rsidRPr="00276E57">
        <w:rPr>
          <w:rFonts w:ascii="Arial" w:hAnsi="Arial" w:cs="Arial"/>
          <w:sz w:val="20"/>
          <w:szCs w:val="20"/>
        </w:rPr>
        <w:t xml:space="preserve">do </w:t>
      </w:r>
      <w:r w:rsidR="00E8725B" w:rsidRPr="00276E57">
        <w:rPr>
          <w:rFonts w:ascii="Arial" w:hAnsi="Arial" w:cs="Arial"/>
          <w:sz w:val="20"/>
          <w:szCs w:val="20"/>
        </w:rPr>
        <w:lastRenderedPageBreak/>
        <w:t xml:space="preserve">CEP </w:t>
      </w:r>
      <w:r w:rsidR="00F41E33" w:rsidRPr="00276E57">
        <w:rPr>
          <w:rFonts w:ascii="Arial" w:hAnsi="Arial" w:cs="Arial"/>
          <w:sz w:val="20"/>
          <w:szCs w:val="20"/>
        </w:rPr>
        <w:t>definir a</w:t>
      </w:r>
      <w:r w:rsidR="00005839" w:rsidRPr="00276E57">
        <w:rPr>
          <w:rFonts w:ascii="Arial" w:hAnsi="Arial" w:cs="Arial"/>
          <w:sz w:val="20"/>
          <w:szCs w:val="20"/>
        </w:rPr>
        <w:t>s diretrizes e regras relativas à</w:t>
      </w:r>
      <w:r w:rsidR="00F41E33" w:rsidRPr="00276E57">
        <w:rPr>
          <w:rFonts w:ascii="Arial" w:hAnsi="Arial" w:cs="Arial"/>
          <w:sz w:val="20"/>
          <w:szCs w:val="20"/>
        </w:rPr>
        <w:t xml:space="preserve"> aplicação dos</w:t>
      </w:r>
      <w:r w:rsidR="00895FF5">
        <w:rPr>
          <w:rFonts w:ascii="Arial" w:hAnsi="Arial" w:cs="Arial"/>
          <w:sz w:val="20"/>
          <w:szCs w:val="20"/>
        </w:rPr>
        <w:t xml:space="preserve"> </w:t>
      </w:r>
      <w:r w:rsidR="00F215CA" w:rsidRPr="00276E57">
        <w:rPr>
          <w:rFonts w:ascii="Arial" w:hAnsi="Arial" w:cs="Arial"/>
          <w:sz w:val="20"/>
          <w:szCs w:val="20"/>
        </w:rPr>
        <w:t>recursos</w:t>
      </w:r>
      <w:r w:rsidR="00895FF5">
        <w:rPr>
          <w:rFonts w:ascii="Arial" w:hAnsi="Arial" w:cs="Arial"/>
          <w:sz w:val="20"/>
          <w:szCs w:val="20"/>
        </w:rPr>
        <w:t xml:space="preserve"> </w:t>
      </w:r>
      <w:r w:rsidR="00F215CA" w:rsidRPr="00276E57">
        <w:rPr>
          <w:rFonts w:ascii="Arial" w:hAnsi="Arial" w:cs="Arial"/>
          <w:sz w:val="20"/>
          <w:szCs w:val="20"/>
        </w:rPr>
        <w:t xml:space="preserve">financeiros do Regime Próprio de Previdência </w:t>
      </w:r>
      <w:r w:rsidR="00431180" w:rsidRPr="00276E57">
        <w:rPr>
          <w:rFonts w:ascii="Arial" w:hAnsi="Arial" w:cs="Arial"/>
          <w:sz w:val="20"/>
          <w:szCs w:val="20"/>
        </w:rPr>
        <w:t>Social</w:t>
      </w:r>
      <w:r w:rsidR="00E34AB1">
        <w:rPr>
          <w:rFonts w:ascii="Arial" w:hAnsi="Arial" w:cs="Arial"/>
          <w:sz w:val="20"/>
          <w:szCs w:val="20"/>
        </w:rPr>
        <w:t>, por meio da Política de Investimentos</w:t>
      </w:r>
      <w:r w:rsidR="00CC6674">
        <w:rPr>
          <w:rFonts w:ascii="Arial" w:hAnsi="Arial" w:cs="Arial"/>
          <w:sz w:val="20"/>
          <w:szCs w:val="20"/>
        </w:rPr>
        <w:t>.</w:t>
      </w:r>
    </w:p>
    <w:p w:rsidR="004504F0" w:rsidRDefault="0007016E" w:rsidP="004504F0">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504F0">
        <w:rPr>
          <w:rFonts w:ascii="Arial" w:hAnsi="Arial" w:cs="Arial"/>
          <w:sz w:val="20"/>
          <w:szCs w:val="20"/>
        </w:rPr>
        <w:t>A</w:t>
      </w:r>
      <w:r w:rsidR="004504F0" w:rsidRPr="00E27B4E">
        <w:rPr>
          <w:rFonts w:ascii="Arial" w:hAnsi="Arial" w:cs="Arial"/>
          <w:sz w:val="20"/>
          <w:szCs w:val="20"/>
        </w:rPr>
        <w:t xml:space="preserve">s aplicações e resgates </w:t>
      </w:r>
      <w:r w:rsidR="004504F0" w:rsidRPr="001D3FEB">
        <w:rPr>
          <w:rFonts w:ascii="Arial" w:hAnsi="Arial" w:cs="Arial"/>
          <w:sz w:val="20"/>
          <w:szCs w:val="20"/>
        </w:rPr>
        <w:t>serão recomendados pelo Comitê de Investimentos</w:t>
      </w:r>
      <w:r w:rsidR="004504F0" w:rsidRPr="00E27B4E">
        <w:rPr>
          <w:rFonts w:ascii="Arial" w:hAnsi="Arial" w:cs="Arial"/>
          <w:sz w:val="20"/>
          <w:szCs w:val="20"/>
        </w:rPr>
        <w:t xml:space="preserve">, de acordo com </w:t>
      </w:r>
      <w:r w:rsidR="004504F0">
        <w:rPr>
          <w:rFonts w:ascii="Arial" w:hAnsi="Arial" w:cs="Arial"/>
          <w:sz w:val="20"/>
          <w:szCs w:val="20"/>
        </w:rPr>
        <w:t>o levantamento de dados apresentados pela</w:t>
      </w:r>
      <w:r w:rsidR="004504F0" w:rsidRPr="00E27B4E">
        <w:rPr>
          <w:rFonts w:ascii="Arial" w:hAnsi="Arial" w:cs="Arial"/>
          <w:sz w:val="20"/>
          <w:szCs w:val="20"/>
        </w:rPr>
        <w:t xml:space="preserve"> Diretoria Financeira e Atuarial </w:t>
      </w:r>
      <w:r w:rsidR="004504F0">
        <w:rPr>
          <w:rFonts w:ascii="Arial" w:hAnsi="Arial" w:cs="Arial"/>
          <w:sz w:val="20"/>
          <w:szCs w:val="20"/>
        </w:rPr>
        <w:t>–</w:t>
      </w:r>
      <w:r w:rsidR="004504F0" w:rsidRPr="00E27B4E">
        <w:rPr>
          <w:rFonts w:ascii="Arial" w:hAnsi="Arial" w:cs="Arial"/>
          <w:sz w:val="20"/>
          <w:szCs w:val="20"/>
        </w:rPr>
        <w:t xml:space="preserve"> DIFAT</w:t>
      </w:r>
      <w:r w:rsidR="004504F0">
        <w:rPr>
          <w:rFonts w:ascii="Arial" w:hAnsi="Arial" w:cs="Arial"/>
          <w:sz w:val="20"/>
          <w:szCs w:val="20"/>
        </w:rPr>
        <w:t xml:space="preserve">, </w:t>
      </w:r>
      <w:r w:rsidR="004504F0" w:rsidRPr="00276E57">
        <w:rPr>
          <w:rFonts w:ascii="Arial" w:hAnsi="Arial" w:cs="Arial"/>
          <w:sz w:val="20"/>
          <w:szCs w:val="20"/>
        </w:rPr>
        <w:t>mediante o devido processo administrativo.</w:t>
      </w:r>
    </w:p>
    <w:p w:rsidR="004504F0" w:rsidRPr="00276E57" w:rsidRDefault="004504F0" w:rsidP="004504F0">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As receitas provenientes de arrecadação deverão ser aplicadas imediatamente em fundo</w:t>
      </w:r>
      <w:r w:rsidR="000C2A52">
        <w:rPr>
          <w:rFonts w:ascii="Arial" w:hAnsi="Arial" w:cs="Arial"/>
          <w:sz w:val="20"/>
          <w:szCs w:val="20"/>
        </w:rPr>
        <w:t xml:space="preserve"> de investimento do Banco do Brasil,no </w:t>
      </w:r>
      <w:r>
        <w:rPr>
          <w:rFonts w:ascii="Arial" w:hAnsi="Arial" w:cs="Arial"/>
          <w:sz w:val="20"/>
          <w:szCs w:val="20"/>
        </w:rPr>
        <w:t xml:space="preserve">segmento </w:t>
      </w:r>
      <w:r w:rsidR="000C2A52">
        <w:rPr>
          <w:rFonts w:ascii="Arial" w:hAnsi="Arial" w:cs="Arial"/>
          <w:sz w:val="20"/>
          <w:szCs w:val="20"/>
        </w:rPr>
        <w:t xml:space="preserve">de renda fixa, </w:t>
      </w:r>
      <w:r>
        <w:rPr>
          <w:rFonts w:ascii="Arial" w:hAnsi="Arial" w:cs="Arial"/>
          <w:sz w:val="20"/>
          <w:szCs w:val="20"/>
        </w:rPr>
        <w:t>de baixo risco, com aplicação e resgate em D</w:t>
      </w:r>
      <w:r w:rsidR="000C2A52">
        <w:rPr>
          <w:rFonts w:ascii="Arial" w:hAnsi="Arial" w:cs="Arial"/>
          <w:sz w:val="20"/>
          <w:szCs w:val="20"/>
        </w:rPr>
        <w:t>+</w:t>
      </w:r>
      <w:r>
        <w:rPr>
          <w:rFonts w:ascii="Arial" w:hAnsi="Arial" w:cs="Arial"/>
          <w:sz w:val="20"/>
          <w:szCs w:val="20"/>
        </w:rPr>
        <w:t>0, até que o CIAP delibere sobre a permanência ou transferência desses recursos para outras aplicações.</w:t>
      </w:r>
    </w:p>
    <w:p w:rsidR="004504F0" w:rsidRDefault="004504F0" w:rsidP="004504F0">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t>N</w:t>
      </w:r>
      <w:r w:rsidRPr="00E27B4E">
        <w:rPr>
          <w:rFonts w:ascii="Arial" w:hAnsi="Arial" w:cs="Arial"/>
          <w:sz w:val="20"/>
          <w:szCs w:val="20"/>
        </w:rPr>
        <w:t>a operacionalização dos inves</w:t>
      </w:r>
      <w:r>
        <w:rPr>
          <w:rFonts w:ascii="Arial" w:hAnsi="Arial" w:cs="Arial"/>
          <w:sz w:val="20"/>
          <w:szCs w:val="20"/>
        </w:rPr>
        <w:t xml:space="preserve">timentos </w:t>
      </w:r>
      <w:r w:rsidR="000C2A52">
        <w:rPr>
          <w:rFonts w:ascii="Arial" w:hAnsi="Arial" w:cs="Arial"/>
          <w:sz w:val="20"/>
          <w:szCs w:val="20"/>
        </w:rPr>
        <w:t>deliberados</w:t>
      </w:r>
      <w:r>
        <w:rPr>
          <w:rFonts w:ascii="Arial" w:hAnsi="Arial" w:cs="Arial"/>
          <w:sz w:val="20"/>
          <w:szCs w:val="20"/>
        </w:rPr>
        <w:t xml:space="preserve"> pelo CIAP, havendo discordância entre o Diretor-</w:t>
      </w:r>
      <w:r w:rsidRPr="00E27B4E">
        <w:rPr>
          <w:rFonts w:ascii="Arial" w:hAnsi="Arial" w:cs="Arial"/>
          <w:sz w:val="20"/>
          <w:szCs w:val="20"/>
        </w:rPr>
        <w:t>Presidente</w:t>
      </w:r>
      <w:r>
        <w:rPr>
          <w:rFonts w:ascii="Arial" w:hAnsi="Arial" w:cs="Arial"/>
          <w:sz w:val="20"/>
          <w:szCs w:val="20"/>
        </w:rPr>
        <w:t xml:space="preserve"> e o Diretor Financeiro e Atuarial</w:t>
      </w:r>
      <w:r w:rsidRPr="00E27B4E">
        <w:rPr>
          <w:rFonts w:ascii="Arial" w:hAnsi="Arial" w:cs="Arial"/>
          <w:sz w:val="20"/>
          <w:szCs w:val="20"/>
        </w:rPr>
        <w:t xml:space="preserve">, </w:t>
      </w:r>
      <w:r>
        <w:rPr>
          <w:rFonts w:ascii="Arial" w:hAnsi="Arial" w:cs="Arial"/>
          <w:sz w:val="20"/>
          <w:szCs w:val="20"/>
        </w:rPr>
        <w:t>os recursos deverão ser aplicados imediatamente em fundos do segmento de renda fixa atrelados ao CDI, existentes na carteira da AMPREV, de baixo risco, com prazo de resgate D+0, administrados por instituições financeiras oficiais</w:t>
      </w:r>
      <w:r w:rsidR="000C2A52">
        <w:rPr>
          <w:rFonts w:ascii="Arial" w:hAnsi="Arial" w:cs="Arial"/>
          <w:sz w:val="20"/>
          <w:szCs w:val="20"/>
        </w:rPr>
        <w:t xml:space="preserve"> públicas</w:t>
      </w:r>
      <w:r>
        <w:rPr>
          <w:rFonts w:ascii="Arial" w:hAnsi="Arial" w:cs="Arial"/>
          <w:sz w:val="20"/>
          <w:szCs w:val="20"/>
        </w:rPr>
        <w:t>, devendo ser apresentada ao CIAP, no prazo de 03 (três) dias úteis, justificativa técnica com a exposição dos motivos ensejadores das discordâncias.</w:t>
      </w:r>
    </w:p>
    <w:p w:rsidR="004504F0" w:rsidRDefault="004504F0" w:rsidP="004504F0">
      <w:pPr>
        <w:autoSpaceDE w:val="0"/>
        <w:autoSpaceDN w:val="0"/>
        <w:adjustRightInd w:val="0"/>
        <w:spacing w:after="120" w:line="312" w:lineRule="auto"/>
        <w:ind w:firstLine="1418"/>
        <w:jc w:val="both"/>
        <w:rPr>
          <w:rFonts w:ascii="Arial" w:hAnsi="Arial" w:cs="Arial"/>
          <w:sz w:val="20"/>
          <w:szCs w:val="20"/>
        </w:rPr>
      </w:pPr>
      <w:r>
        <w:rPr>
          <w:rFonts w:ascii="Arial" w:hAnsi="Arial" w:cs="Arial"/>
          <w:sz w:val="20"/>
          <w:szCs w:val="20"/>
        </w:rPr>
        <w:t xml:space="preserve">Apresentada </w:t>
      </w:r>
      <w:r w:rsidR="00A41888">
        <w:rPr>
          <w:rFonts w:ascii="Arial" w:hAnsi="Arial" w:cs="Arial"/>
          <w:sz w:val="20"/>
          <w:szCs w:val="20"/>
        </w:rPr>
        <w:t>à</w:t>
      </w:r>
      <w:r>
        <w:rPr>
          <w:rFonts w:ascii="Arial" w:hAnsi="Arial" w:cs="Arial"/>
          <w:sz w:val="20"/>
          <w:szCs w:val="20"/>
        </w:rPr>
        <w:t xml:space="preserve"> justificativa, o CIAP terá prazo de 03 (três) dias úteis para avaliá-la e deliberar sobre a aplicação dos referidos recursos.</w:t>
      </w:r>
    </w:p>
    <w:p w:rsidR="004504F0" w:rsidRDefault="004504F0" w:rsidP="004504F0">
      <w:pPr>
        <w:autoSpaceDE w:val="0"/>
        <w:autoSpaceDN w:val="0"/>
        <w:adjustRightInd w:val="0"/>
        <w:spacing w:after="120" w:line="312" w:lineRule="auto"/>
        <w:ind w:firstLine="1418"/>
        <w:jc w:val="both"/>
        <w:rPr>
          <w:rFonts w:ascii="Arial" w:hAnsi="Arial" w:cs="Arial"/>
          <w:sz w:val="20"/>
          <w:szCs w:val="20"/>
        </w:rPr>
      </w:pPr>
      <w:r>
        <w:rPr>
          <w:rFonts w:ascii="Arial" w:hAnsi="Arial" w:cs="Arial"/>
          <w:sz w:val="20"/>
          <w:szCs w:val="20"/>
        </w:rPr>
        <w:t>C</w:t>
      </w:r>
      <w:r w:rsidRPr="00E27B4E">
        <w:rPr>
          <w:rFonts w:ascii="Arial" w:hAnsi="Arial" w:cs="Arial"/>
          <w:sz w:val="20"/>
          <w:szCs w:val="20"/>
        </w:rPr>
        <w:t xml:space="preserve">aso </w:t>
      </w:r>
      <w:r>
        <w:rPr>
          <w:rFonts w:ascii="Arial" w:hAnsi="Arial" w:cs="Arial"/>
          <w:sz w:val="20"/>
          <w:szCs w:val="20"/>
        </w:rPr>
        <w:t>a justificativa não seja encaminhada na forma acima definida, ou em caso de não entendimento, o CIAP dará conhecimento imediato ao CEP para as deliberações pertinentes.</w:t>
      </w:r>
    </w:p>
    <w:p w:rsidR="004504F0" w:rsidRDefault="004504F0" w:rsidP="00452BEA">
      <w:pPr>
        <w:autoSpaceDE w:val="0"/>
        <w:autoSpaceDN w:val="0"/>
        <w:adjustRightInd w:val="0"/>
        <w:spacing w:after="120" w:line="312" w:lineRule="auto"/>
        <w:ind w:firstLine="1418"/>
        <w:jc w:val="both"/>
        <w:rPr>
          <w:rFonts w:ascii="Arial" w:hAnsi="Arial" w:cs="Arial"/>
          <w:sz w:val="20"/>
          <w:szCs w:val="20"/>
        </w:rPr>
      </w:pPr>
      <w:r>
        <w:rPr>
          <w:rFonts w:ascii="Arial" w:hAnsi="Arial" w:cs="Arial"/>
          <w:sz w:val="20"/>
          <w:szCs w:val="20"/>
        </w:rPr>
        <w:t>Fica autorizado ao</w:t>
      </w:r>
      <w:r w:rsidRPr="008F64DD">
        <w:rPr>
          <w:rFonts w:ascii="Arial" w:hAnsi="Arial" w:cs="Arial"/>
          <w:sz w:val="20"/>
          <w:szCs w:val="20"/>
        </w:rPr>
        <w:t xml:space="preserve"> Diretor-Presidente</w:t>
      </w:r>
      <w:r>
        <w:rPr>
          <w:rFonts w:ascii="Arial" w:hAnsi="Arial" w:cs="Arial"/>
          <w:sz w:val="20"/>
          <w:szCs w:val="20"/>
        </w:rPr>
        <w:t>,</w:t>
      </w:r>
      <w:r w:rsidRPr="008F64DD">
        <w:rPr>
          <w:rFonts w:ascii="Arial" w:hAnsi="Arial" w:cs="Arial"/>
          <w:sz w:val="20"/>
          <w:szCs w:val="20"/>
        </w:rPr>
        <w:t xml:space="preserve"> em conjunto com o Diretor Financeiro e Atuarial</w:t>
      </w:r>
      <w:r>
        <w:rPr>
          <w:rFonts w:ascii="Arial" w:hAnsi="Arial" w:cs="Arial"/>
          <w:sz w:val="20"/>
          <w:szCs w:val="20"/>
        </w:rPr>
        <w:t xml:space="preserve">, resgatar valores das aplicações em Fundos de Investimentos, sem prévia deliberação do CIAP, para custear exclusivamente despesas administrativas e com folhas de pagamento de benefícios. Os resgates efetuados sem a prévia deliberação do CIAP deverão </w:t>
      </w:r>
      <w:r w:rsidRPr="00276E57">
        <w:rPr>
          <w:rFonts w:ascii="Arial" w:hAnsi="Arial" w:cs="Arial"/>
          <w:sz w:val="20"/>
          <w:szCs w:val="20"/>
        </w:rPr>
        <w:t xml:space="preserve">ser </w:t>
      </w:r>
      <w:r>
        <w:rPr>
          <w:rFonts w:ascii="Arial" w:hAnsi="Arial" w:cs="Arial"/>
          <w:sz w:val="20"/>
          <w:szCs w:val="20"/>
        </w:rPr>
        <w:t>informados</w:t>
      </w:r>
      <w:r w:rsidRPr="00276E57">
        <w:rPr>
          <w:rFonts w:ascii="Arial" w:hAnsi="Arial" w:cs="Arial"/>
          <w:sz w:val="20"/>
          <w:szCs w:val="20"/>
        </w:rPr>
        <w:t xml:space="preserve"> ao Comitê </w:t>
      </w:r>
      <w:r>
        <w:rPr>
          <w:rFonts w:ascii="Arial" w:hAnsi="Arial" w:cs="Arial"/>
          <w:sz w:val="20"/>
          <w:szCs w:val="20"/>
        </w:rPr>
        <w:t>de Investimentos no prazo máximo de 5 (cinco) dias úteis, sendo necessária a formalização de processo administrativo.</w:t>
      </w:r>
    </w:p>
    <w:p w:rsidR="000D50E1" w:rsidRDefault="000D50E1" w:rsidP="00452BEA">
      <w:pPr>
        <w:autoSpaceDE w:val="0"/>
        <w:autoSpaceDN w:val="0"/>
        <w:adjustRightInd w:val="0"/>
        <w:spacing w:after="120" w:line="312" w:lineRule="auto"/>
        <w:ind w:firstLine="1418"/>
        <w:jc w:val="both"/>
        <w:rPr>
          <w:rFonts w:ascii="Arial" w:hAnsi="Arial" w:cs="Arial"/>
          <w:sz w:val="20"/>
          <w:szCs w:val="20"/>
        </w:rPr>
      </w:pPr>
    </w:p>
    <w:p w:rsidR="008F64DD" w:rsidRPr="0007016E" w:rsidRDefault="008F64DD" w:rsidP="008F64DD">
      <w:pPr>
        <w:autoSpaceDE w:val="0"/>
        <w:autoSpaceDN w:val="0"/>
        <w:adjustRightInd w:val="0"/>
        <w:spacing w:after="120" w:line="312" w:lineRule="auto"/>
        <w:jc w:val="both"/>
        <w:rPr>
          <w:rFonts w:ascii="Arial" w:hAnsi="Arial" w:cs="Arial"/>
          <w:b/>
          <w:sz w:val="20"/>
          <w:szCs w:val="20"/>
        </w:rPr>
      </w:pPr>
      <w:r w:rsidRPr="0007016E">
        <w:rPr>
          <w:rFonts w:ascii="Arial" w:hAnsi="Arial" w:cs="Arial"/>
          <w:b/>
          <w:sz w:val="20"/>
          <w:szCs w:val="20"/>
        </w:rPr>
        <w:t>4.2.1</w:t>
      </w:r>
      <w:r w:rsidR="0007016E">
        <w:rPr>
          <w:rFonts w:ascii="Arial" w:hAnsi="Arial" w:cs="Arial"/>
          <w:b/>
          <w:sz w:val="20"/>
          <w:szCs w:val="20"/>
        </w:rPr>
        <w:t>.</w:t>
      </w:r>
      <w:r w:rsidR="00DF79E1">
        <w:rPr>
          <w:rFonts w:ascii="Arial" w:hAnsi="Arial" w:cs="Arial"/>
          <w:b/>
          <w:sz w:val="20"/>
          <w:szCs w:val="20"/>
        </w:rPr>
        <w:t xml:space="preserve"> </w:t>
      </w:r>
      <w:r w:rsidRPr="0007016E">
        <w:rPr>
          <w:rFonts w:ascii="Arial" w:hAnsi="Arial" w:cs="Arial"/>
          <w:b/>
          <w:sz w:val="20"/>
          <w:szCs w:val="20"/>
        </w:rPr>
        <w:t>FATORES DE RISCOS</w:t>
      </w:r>
    </w:p>
    <w:p w:rsidR="00F215CA" w:rsidRPr="00CF0E68" w:rsidRDefault="0007016E" w:rsidP="0007016E">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F215CA" w:rsidRPr="00CF0E68">
        <w:rPr>
          <w:rFonts w:ascii="Arial" w:hAnsi="Arial" w:cs="Arial"/>
          <w:sz w:val="20"/>
          <w:szCs w:val="20"/>
        </w:rPr>
        <w:t>É relevante mencionar que qualquer aplicação financeira está sujeita à</w:t>
      </w:r>
      <w:r w:rsidR="00895FF5">
        <w:rPr>
          <w:rFonts w:ascii="Arial" w:hAnsi="Arial" w:cs="Arial"/>
          <w:sz w:val="20"/>
          <w:szCs w:val="20"/>
        </w:rPr>
        <w:t xml:space="preserve"> </w:t>
      </w:r>
      <w:r w:rsidR="00F215CA" w:rsidRPr="00CF0E68">
        <w:rPr>
          <w:rFonts w:ascii="Arial" w:hAnsi="Arial" w:cs="Arial"/>
          <w:sz w:val="20"/>
          <w:szCs w:val="20"/>
        </w:rPr>
        <w:t xml:space="preserve">incidência de fatores de risco que podem afetar adversamente o seu </w:t>
      </w:r>
      <w:r w:rsidR="003944BF" w:rsidRPr="00CF0E68">
        <w:rPr>
          <w:rFonts w:ascii="Arial" w:hAnsi="Arial" w:cs="Arial"/>
          <w:sz w:val="20"/>
          <w:szCs w:val="20"/>
        </w:rPr>
        <w:t xml:space="preserve">retorno, </w:t>
      </w:r>
      <w:r w:rsidR="00F215CA" w:rsidRPr="00CF0E68">
        <w:rPr>
          <w:rFonts w:ascii="Arial" w:hAnsi="Arial" w:cs="Arial"/>
          <w:sz w:val="20"/>
          <w:szCs w:val="20"/>
        </w:rPr>
        <w:t>entre eles:</w:t>
      </w:r>
    </w:p>
    <w:p w:rsidR="000C4264" w:rsidRPr="00CF0E68" w:rsidRDefault="000C4264" w:rsidP="0034436C">
      <w:pPr>
        <w:numPr>
          <w:ilvl w:val="0"/>
          <w:numId w:val="22"/>
        </w:numPr>
        <w:tabs>
          <w:tab w:val="clear" w:pos="720"/>
        </w:tabs>
        <w:spacing w:line="312" w:lineRule="auto"/>
        <w:ind w:left="1701"/>
        <w:jc w:val="both"/>
        <w:rPr>
          <w:rFonts w:ascii="Arial" w:hAnsi="Arial" w:cs="Arial"/>
          <w:sz w:val="20"/>
          <w:szCs w:val="20"/>
        </w:rPr>
      </w:pPr>
      <w:r w:rsidRPr="00CF0E68">
        <w:rPr>
          <w:rFonts w:ascii="Arial" w:hAnsi="Arial" w:cs="Arial"/>
          <w:b/>
          <w:sz w:val="20"/>
          <w:szCs w:val="20"/>
        </w:rPr>
        <w:t>Risco de Mercado</w:t>
      </w:r>
      <w:r w:rsidRPr="00CF0E68">
        <w:rPr>
          <w:rFonts w:ascii="Arial" w:hAnsi="Arial" w:cs="Arial"/>
          <w:sz w:val="20"/>
          <w:szCs w:val="20"/>
        </w:rPr>
        <w:t xml:space="preserve"> - corresponde </w:t>
      </w:r>
      <w:r w:rsidR="001A5CA7">
        <w:rPr>
          <w:rFonts w:ascii="Arial" w:hAnsi="Arial" w:cs="Arial"/>
          <w:sz w:val="20"/>
          <w:szCs w:val="20"/>
        </w:rPr>
        <w:t>à</w:t>
      </w:r>
      <w:r w:rsidRPr="00CF0E68">
        <w:rPr>
          <w:rFonts w:ascii="Arial" w:hAnsi="Arial" w:cs="Arial"/>
          <w:sz w:val="20"/>
          <w:szCs w:val="20"/>
        </w:rPr>
        <w:t xml:space="preserve"> incerteza em relação ao resultado de um investimento financeiro ou de uma carteira de investimento, em decorrência de mudanças futuras na</w:t>
      </w:r>
      <w:r w:rsidR="00B17818" w:rsidRPr="00CF0E68">
        <w:rPr>
          <w:rFonts w:ascii="Arial" w:hAnsi="Arial" w:cs="Arial"/>
          <w:sz w:val="20"/>
          <w:szCs w:val="20"/>
        </w:rPr>
        <w:t>s</w:t>
      </w:r>
      <w:r w:rsidRPr="00CF0E68">
        <w:rPr>
          <w:rFonts w:ascii="Arial" w:hAnsi="Arial" w:cs="Arial"/>
          <w:sz w:val="20"/>
          <w:szCs w:val="20"/>
        </w:rPr>
        <w:t xml:space="preserve"> condiç</w:t>
      </w:r>
      <w:r w:rsidR="00B17818" w:rsidRPr="00CF0E68">
        <w:rPr>
          <w:rFonts w:ascii="Arial" w:hAnsi="Arial" w:cs="Arial"/>
          <w:sz w:val="20"/>
          <w:szCs w:val="20"/>
        </w:rPr>
        <w:t>ões</w:t>
      </w:r>
      <w:r w:rsidRPr="00CF0E68">
        <w:rPr>
          <w:rFonts w:ascii="Arial" w:hAnsi="Arial" w:cs="Arial"/>
          <w:sz w:val="20"/>
          <w:szCs w:val="20"/>
        </w:rPr>
        <w:t xml:space="preserve"> de mercado, tais como os preços de um ativo, taxas de juros, volatilidade de mercado e liquidez;</w:t>
      </w:r>
    </w:p>
    <w:p w:rsidR="000C4264" w:rsidRPr="00CF0E68" w:rsidRDefault="000C4264" w:rsidP="0007016E">
      <w:pPr>
        <w:numPr>
          <w:ilvl w:val="0"/>
          <w:numId w:val="22"/>
        </w:numPr>
        <w:tabs>
          <w:tab w:val="clear" w:pos="720"/>
        </w:tabs>
        <w:spacing w:line="312" w:lineRule="auto"/>
        <w:ind w:left="1701" w:hanging="283"/>
        <w:jc w:val="both"/>
        <w:rPr>
          <w:rFonts w:ascii="Arial" w:hAnsi="Arial" w:cs="Arial"/>
          <w:sz w:val="20"/>
          <w:szCs w:val="20"/>
        </w:rPr>
      </w:pPr>
      <w:r w:rsidRPr="00CF0E68">
        <w:rPr>
          <w:rFonts w:ascii="Arial" w:hAnsi="Arial" w:cs="Arial"/>
          <w:b/>
          <w:sz w:val="20"/>
          <w:szCs w:val="20"/>
        </w:rPr>
        <w:t>Risco de Crédito</w:t>
      </w:r>
      <w:r w:rsidRPr="00CF0E68">
        <w:rPr>
          <w:rFonts w:ascii="Arial" w:hAnsi="Arial" w:cs="Arial"/>
          <w:sz w:val="20"/>
          <w:szCs w:val="20"/>
        </w:rPr>
        <w:t xml:space="preserve"> - corresponde </w:t>
      </w:r>
      <w:r w:rsidR="00A41888" w:rsidRPr="00CF0E68">
        <w:rPr>
          <w:rFonts w:ascii="Arial" w:hAnsi="Arial" w:cs="Arial"/>
          <w:sz w:val="20"/>
          <w:szCs w:val="20"/>
        </w:rPr>
        <w:t>à</w:t>
      </w:r>
      <w:r w:rsidRPr="00CF0E68">
        <w:rPr>
          <w:rFonts w:ascii="Arial" w:hAnsi="Arial" w:cs="Arial"/>
          <w:sz w:val="20"/>
          <w:szCs w:val="20"/>
        </w:rPr>
        <w:t xml:space="preserve"> possibilidade de uma obrigação (principal e juros) não vir a ser honrada pelo emissor/contraparte, na data e nas condições negociadas e contratadas;</w:t>
      </w:r>
    </w:p>
    <w:p w:rsidR="000C4264" w:rsidRPr="00CF0E68" w:rsidRDefault="000C4264" w:rsidP="0007016E">
      <w:pPr>
        <w:numPr>
          <w:ilvl w:val="0"/>
          <w:numId w:val="22"/>
        </w:numPr>
        <w:tabs>
          <w:tab w:val="clear" w:pos="720"/>
        </w:tabs>
        <w:spacing w:after="360" w:line="312" w:lineRule="auto"/>
        <w:ind w:left="1701" w:hanging="283"/>
        <w:jc w:val="both"/>
        <w:rPr>
          <w:rFonts w:ascii="Arial" w:hAnsi="Arial" w:cs="Arial"/>
          <w:sz w:val="20"/>
          <w:szCs w:val="20"/>
        </w:rPr>
      </w:pPr>
      <w:r w:rsidRPr="00CF0E68">
        <w:rPr>
          <w:rFonts w:ascii="Arial" w:hAnsi="Arial" w:cs="Arial"/>
          <w:b/>
          <w:sz w:val="20"/>
          <w:szCs w:val="20"/>
        </w:rPr>
        <w:t>Risco de Liquidez</w:t>
      </w:r>
      <w:r w:rsidRPr="00CF0E68">
        <w:rPr>
          <w:rFonts w:ascii="Arial" w:hAnsi="Arial" w:cs="Arial"/>
          <w:sz w:val="20"/>
          <w:szCs w:val="20"/>
        </w:rPr>
        <w:t xml:space="preserve"> - é resultante da ocorrência de desequilíbrios entre os ativos negociáveis e passivos exigíveis, ou seja, </w:t>
      </w:r>
      <w:r w:rsidR="002050B3" w:rsidRPr="00CF0E68">
        <w:rPr>
          <w:rFonts w:ascii="Arial" w:hAnsi="Arial" w:cs="Arial"/>
          <w:sz w:val="20"/>
          <w:szCs w:val="20"/>
        </w:rPr>
        <w:t>o “descasamento” entre os pa</w:t>
      </w:r>
      <w:r w:rsidR="002050B3" w:rsidRPr="00CF0E68">
        <w:rPr>
          <w:rFonts w:ascii="Arial" w:hAnsi="Arial" w:cs="Arial"/>
          <w:sz w:val="20"/>
          <w:szCs w:val="20"/>
        </w:rPr>
        <w:lastRenderedPageBreak/>
        <w:t>gam</w:t>
      </w:r>
      <w:r w:rsidR="00D64327" w:rsidRPr="00CF0E68">
        <w:rPr>
          <w:rFonts w:ascii="Arial" w:hAnsi="Arial" w:cs="Arial"/>
          <w:sz w:val="20"/>
          <w:szCs w:val="20"/>
        </w:rPr>
        <w:t>e</w:t>
      </w:r>
      <w:r w:rsidRPr="00CF0E68">
        <w:rPr>
          <w:rFonts w:ascii="Arial" w:hAnsi="Arial" w:cs="Arial"/>
          <w:sz w:val="20"/>
          <w:szCs w:val="20"/>
        </w:rPr>
        <w:t xml:space="preserve">ntos e recebimentos. Esta situação afeta a capacidade de pagamento da </w:t>
      </w:r>
      <w:r w:rsidR="00712A4F" w:rsidRPr="00CF0E68">
        <w:rPr>
          <w:rFonts w:ascii="Arial" w:hAnsi="Arial" w:cs="Arial"/>
          <w:sz w:val="20"/>
          <w:szCs w:val="20"/>
        </w:rPr>
        <w:t>I</w:t>
      </w:r>
      <w:r w:rsidRPr="00CF0E68">
        <w:rPr>
          <w:rFonts w:ascii="Arial" w:hAnsi="Arial" w:cs="Arial"/>
          <w:sz w:val="20"/>
          <w:szCs w:val="20"/>
        </w:rPr>
        <w:t>nstituição.</w:t>
      </w:r>
    </w:p>
    <w:p w:rsidR="001F6FE5" w:rsidRPr="0007016E" w:rsidRDefault="001F6FE5" w:rsidP="0007016E">
      <w:pPr>
        <w:autoSpaceDE w:val="0"/>
        <w:autoSpaceDN w:val="0"/>
        <w:adjustRightInd w:val="0"/>
        <w:spacing w:after="120"/>
        <w:rPr>
          <w:rFonts w:ascii="Arial" w:hAnsi="Arial" w:cs="Arial"/>
          <w:b/>
          <w:bCs/>
          <w:smallCaps/>
          <w:sz w:val="20"/>
          <w:szCs w:val="20"/>
        </w:rPr>
      </w:pPr>
      <w:r w:rsidRPr="0007016E">
        <w:rPr>
          <w:rFonts w:ascii="Arial" w:hAnsi="Arial" w:cs="Arial"/>
          <w:b/>
          <w:bCs/>
          <w:sz w:val="20"/>
          <w:szCs w:val="20"/>
        </w:rPr>
        <w:t>4.3</w:t>
      </w:r>
      <w:r w:rsidR="0007016E">
        <w:rPr>
          <w:rFonts w:ascii="Arial" w:hAnsi="Arial" w:cs="Arial"/>
          <w:b/>
          <w:bCs/>
          <w:sz w:val="20"/>
          <w:szCs w:val="20"/>
        </w:rPr>
        <w:t>.</w:t>
      </w:r>
      <w:r w:rsidR="00DF79E1">
        <w:rPr>
          <w:rFonts w:ascii="Arial" w:hAnsi="Arial" w:cs="Arial"/>
          <w:b/>
          <w:bCs/>
          <w:sz w:val="20"/>
          <w:szCs w:val="20"/>
        </w:rPr>
        <w:t xml:space="preserve"> </w:t>
      </w:r>
      <w:r w:rsidRPr="0007016E">
        <w:rPr>
          <w:rFonts w:ascii="Arial" w:hAnsi="Arial" w:cs="Arial"/>
          <w:b/>
          <w:bCs/>
          <w:smallCaps/>
          <w:sz w:val="20"/>
          <w:szCs w:val="20"/>
        </w:rPr>
        <w:t>C</w:t>
      </w:r>
      <w:r w:rsidR="0007016E" w:rsidRPr="0007016E">
        <w:rPr>
          <w:rFonts w:ascii="Arial" w:hAnsi="Arial" w:cs="Arial"/>
          <w:b/>
          <w:bCs/>
          <w:smallCaps/>
          <w:sz w:val="20"/>
          <w:szCs w:val="20"/>
        </w:rPr>
        <w:t>APACITAÇÃO DE GESTORES</w:t>
      </w:r>
      <w:r w:rsidRPr="0007016E">
        <w:rPr>
          <w:rFonts w:ascii="Arial" w:hAnsi="Arial" w:cs="Arial"/>
          <w:b/>
          <w:bCs/>
          <w:smallCaps/>
          <w:sz w:val="20"/>
          <w:szCs w:val="20"/>
        </w:rPr>
        <w:t xml:space="preserve">, </w:t>
      </w:r>
      <w:r w:rsidR="0007016E" w:rsidRPr="0007016E">
        <w:rPr>
          <w:rFonts w:ascii="Arial" w:hAnsi="Arial" w:cs="Arial"/>
          <w:b/>
          <w:bCs/>
          <w:smallCaps/>
          <w:sz w:val="20"/>
          <w:szCs w:val="20"/>
        </w:rPr>
        <w:t>SERVIDORES E MEMBROS DOS CO</w:t>
      </w:r>
      <w:r w:rsidR="00EC6868">
        <w:rPr>
          <w:rFonts w:ascii="Arial" w:hAnsi="Arial" w:cs="Arial"/>
          <w:b/>
          <w:bCs/>
          <w:smallCaps/>
          <w:sz w:val="20"/>
          <w:szCs w:val="20"/>
        </w:rPr>
        <w:t>N</w:t>
      </w:r>
      <w:r w:rsidR="0007016E" w:rsidRPr="0007016E">
        <w:rPr>
          <w:rFonts w:ascii="Arial" w:hAnsi="Arial" w:cs="Arial"/>
          <w:b/>
          <w:bCs/>
          <w:smallCaps/>
          <w:sz w:val="20"/>
          <w:szCs w:val="20"/>
        </w:rPr>
        <w:t>SELHOS</w:t>
      </w:r>
    </w:p>
    <w:p w:rsidR="00CE08D0" w:rsidRDefault="0007016E" w:rsidP="0007016E">
      <w:pPr>
        <w:autoSpaceDE w:val="0"/>
        <w:autoSpaceDN w:val="0"/>
        <w:adjustRightInd w:val="0"/>
        <w:spacing w:after="36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8C5F16">
        <w:rPr>
          <w:rFonts w:ascii="Arial" w:hAnsi="Arial" w:cs="Arial"/>
          <w:sz w:val="20"/>
          <w:szCs w:val="20"/>
        </w:rPr>
        <w:t xml:space="preserve">Objetivando </w:t>
      </w:r>
      <w:r w:rsidR="00F215CA" w:rsidRPr="00CF0E68">
        <w:rPr>
          <w:rFonts w:ascii="Arial" w:hAnsi="Arial" w:cs="Arial"/>
          <w:sz w:val="20"/>
          <w:szCs w:val="20"/>
        </w:rPr>
        <w:t>minimizar</w:t>
      </w:r>
      <w:r w:rsidR="00690440">
        <w:rPr>
          <w:rFonts w:ascii="Arial" w:hAnsi="Arial" w:cs="Arial"/>
          <w:sz w:val="20"/>
          <w:szCs w:val="20"/>
        </w:rPr>
        <w:t xml:space="preserve"> os fatores de riscos</w:t>
      </w:r>
      <w:r w:rsidR="00F215CA" w:rsidRPr="00CF0E68">
        <w:rPr>
          <w:rFonts w:ascii="Arial" w:hAnsi="Arial" w:cs="Arial"/>
          <w:sz w:val="20"/>
          <w:szCs w:val="20"/>
        </w:rPr>
        <w:t xml:space="preserve"> por meio de metodologias de acompanhamento</w:t>
      </w:r>
      <w:r w:rsidR="00895FF5">
        <w:rPr>
          <w:rFonts w:ascii="Arial" w:hAnsi="Arial" w:cs="Arial"/>
          <w:sz w:val="20"/>
          <w:szCs w:val="20"/>
        </w:rPr>
        <w:t xml:space="preserve"> </w:t>
      </w:r>
      <w:r w:rsidR="00F215CA" w:rsidRPr="00CF0E68">
        <w:rPr>
          <w:rFonts w:ascii="Arial" w:hAnsi="Arial" w:cs="Arial"/>
          <w:sz w:val="20"/>
          <w:szCs w:val="20"/>
        </w:rPr>
        <w:t xml:space="preserve">e avaliação dos investimentos específicos, </w:t>
      </w:r>
      <w:r w:rsidR="00360D9E">
        <w:rPr>
          <w:rFonts w:ascii="Arial" w:hAnsi="Arial" w:cs="Arial"/>
          <w:sz w:val="20"/>
          <w:szCs w:val="20"/>
        </w:rPr>
        <w:t>é necessári</w:t>
      </w:r>
      <w:r w:rsidR="00767A76">
        <w:rPr>
          <w:rFonts w:ascii="Arial" w:hAnsi="Arial" w:cs="Arial"/>
          <w:sz w:val="20"/>
          <w:szCs w:val="20"/>
        </w:rPr>
        <w:t>o</w:t>
      </w:r>
      <w:r w:rsidR="00895FF5">
        <w:rPr>
          <w:rFonts w:ascii="Arial" w:hAnsi="Arial" w:cs="Arial"/>
          <w:sz w:val="20"/>
          <w:szCs w:val="20"/>
        </w:rPr>
        <w:t xml:space="preserve"> </w:t>
      </w:r>
      <w:r w:rsidR="00360D9E">
        <w:rPr>
          <w:rFonts w:ascii="Arial" w:hAnsi="Arial" w:cs="Arial"/>
          <w:sz w:val="20"/>
          <w:szCs w:val="20"/>
        </w:rPr>
        <w:t xml:space="preserve">que </w:t>
      </w:r>
      <w:r w:rsidR="00690440">
        <w:rPr>
          <w:rFonts w:ascii="Arial" w:hAnsi="Arial" w:cs="Arial"/>
          <w:sz w:val="20"/>
          <w:szCs w:val="20"/>
        </w:rPr>
        <w:t xml:space="preserve">os </w:t>
      </w:r>
      <w:r w:rsidR="00360D9E" w:rsidRPr="00CF0E68">
        <w:rPr>
          <w:rFonts w:ascii="Arial" w:hAnsi="Arial" w:cs="Arial"/>
          <w:sz w:val="20"/>
          <w:szCs w:val="20"/>
        </w:rPr>
        <w:t>servidores</w:t>
      </w:r>
      <w:r w:rsidR="00690440">
        <w:rPr>
          <w:rFonts w:ascii="Arial" w:hAnsi="Arial" w:cs="Arial"/>
          <w:sz w:val="20"/>
          <w:szCs w:val="20"/>
        </w:rPr>
        <w:t xml:space="preserve"> da AMPREV</w:t>
      </w:r>
      <w:r w:rsidR="00360D9E" w:rsidRPr="00CF0E68">
        <w:rPr>
          <w:rFonts w:ascii="Arial" w:hAnsi="Arial" w:cs="Arial"/>
          <w:sz w:val="20"/>
          <w:szCs w:val="20"/>
        </w:rPr>
        <w:t xml:space="preserve"> envolvidos na atividade de </w:t>
      </w:r>
      <w:r w:rsidR="00767A76">
        <w:rPr>
          <w:rFonts w:ascii="Arial" w:hAnsi="Arial" w:cs="Arial"/>
          <w:sz w:val="20"/>
          <w:szCs w:val="20"/>
        </w:rPr>
        <w:t xml:space="preserve">análise e </w:t>
      </w:r>
      <w:r w:rsidR="00360D9E" w:rsidRPr="00CF0E68">
        <w:rPr>
          <w:rFonts w:ascii="Arial" w:hAnsi="Arial" w:cs="Arial"/>
          <w:sz w:val="20"/>
          <w:szCs w:val="20"/>
        </w:rPr>
        <w:t>gestão</w:t>
      </w:r>
      <w:r w:rsidR="00895FF5">
        <w:rPr>
          <w:rFonts w:ascii="Arial" w:hAnsi="Arial" w:cs="Arial"/>
          <w:sz w:val="20"/>
          <w:szCs w:val="20"/>
        </w:rPr>
        <w:t xml:space="preserve"> </w:t>
      </w:r>
      <w:r w:rsidR="00690440">
        <w:rPr>
          <w:rFonts w:ascii="Arial" w:hAnsi="Arial" w:cs="Arial"/>
          <w:sz w:val="20"/>
          <w:szCs w:val="20"/>
        </w:rPr>
        <w:t xml:space="preserve">de </w:t>
      </w:r>
      <w:r w:rsidR="00767A76">
        <w:rPr>
          <w:rFonts w:ascii="Arial" w:hAnsi="Arial" w:cs="Arial"/>
          <w:sz w:val="20"/>
          <w:szCs w:val="20"/>
        </w:rPr>
        <w:t>recursos</w:t>
      </w:r>
      <w:r w:rsidR="00690440">
        <w:rPr>
          <w:rFonts w:ascii="Arial" w:hAnsi="Arial" w:cs="Arial"/>
          <w:sz w:val="20"/>
          <w:szCs w:val="20"/>
        </w:rPr>
        <w:t xml:space="preserve"> financeiros</w:t>
      </w:r>
      <w:r w:rsidR="00360D9E" w:rsidRPr="00CF0E68">
        <w:rPr>
          <w:rFonts w:ascii="Arial" w:hAnsi="Arial" w:cs="Arial"/>
          <w:sz w:val="20"/>
          <w:szCs w:val="20"/>
        </w:rPr>
        <w:t xml:space="preserve">, membros do Comitê de Investimentos, </w:t>
      </w:r>
      <w:r w:rsidR="00360D9E">
        <w:rPr>
          <w:rFonts w:ascii="Arial" w:hAnsi="Arial" w:cs="Arial"/>
          <w:sz w:val="20"/>
          <w:szCs w:val="20"/>
        </w:rPr>
        <w:t xml:space="preserve">membros </w:t>
      </w:r>
      <w:r w:rsidR="00360D9E" w:rsidRPr="00CF0E68">
        <w:rPr>
          <w:rFonts w:ascii="Arial" w:hAnsi="Arial" w:cs="Arial"/>
          <w:sz w:val="20"/>
          <w:szCs w:val="20"/>
        </w:rPr>
        <w:t xml:space="preserve">do Conselho Estadual de </w:t>
      </w:r>
      <w:r w:rsidR="00A41888" w:rsidRPr="00CF0E68">
        <w:rPr>
          <w:rFonts w:ascii="Arial" w:hAnsi="Arial" w:cs="Arial"/>
          <w:sz w:val="20"/>
          <w:szCs w:val="20"/>
        </w:rPr>
        <w:t>Previdência</w:t>
      </w:r>
      <w:r w:rsidR="00A41888">
        <w:rPr>
          <w:rFonts w:ascii="Arial" w:hAnsi="Arial" w:cs="Arial"/>
          <w:sz w:val="20"/>
          <w:szCs w:val="20"/>
        </w:rPr>
        <w:t xml:space="preserve">, </w:t>
      </w:r>
      <w:r w:rsidR="00767A76">
        <w:rPr>
          <w:rFonts w:ascii="Arial" w:hAnsi="Arial" w:cs="Arial"/>
          <w:sz w:val="20"/>
          <w:szCs w:val="20"/>
        </w:rPr>
        <w:t xml:space="preserve">membros </w:t>
      </w:r>
      <w:r w:rsidR="00360D9E" w:rsidRPr="00CF0E68">
        <w:rPr>
          <w:rFonts w:ascii="Arial" w:hAnsi="Arial" w:cs="Arial"/>
          <w:sz w:val="20"/>
          <w:szCs w:val="20"/>
        </w:rPr>
        <w:t>do Conselho Fiscal</w:t>
      </w:r>
      <w:r w:rsidR="00551170">
        <w:rPr>
          <w:rFonts w:ascii="Arial" w:hAnsi="Arial" w:cs="Arial"/>
          <w:sz w:val="20"/>
          <w:szCs w:val="20"/>
        </w:rPr>
        <w:t>,</w:t>
      </w:r>
      <w:r w:rsidR="00DF1399">
        <w:rPr>
          <w:rFonts w:ascii="Arial" w:hAnsi="Arial" w:cs="Arial"/>
          <w:sz w:val="20"/>
          <w:szCs w:val="20"/>
        </w:rPr>
        <w:t xml:space="preserve"> Secretário do CEP e CIAP </w:t>
      </w:r>
      <w:r w:rsidR="00551170">
        <w:rPr>
          <w:rFonts w:ascii="Arial" w:hAnsi="Arial" w:cs="Arial"/>
          <w:sz w:val="20"/>
          <w:szCs w:val="20"/>
        </w:rPr>
        <w:t>e Procurador</w:t>
      </w:r>
      <w:r w:rsidR="00A513A9" w:rsidRPr="0014132F">
        <w:rPr>
          <w:rFonts w:ascii="Arial" w:hAnsi="Arial" w:cs="Arial"/>
          <w:sz w:val="20"/>
          <w:szCs w:val="20"/>
        </w:rPr>
        <w:t>ia</w:t>
      </w:r>
      <w:r w:rsidR="00895FF5">
        <w:rPr>
          <w:rFonts w:ascii="Arial" w:hAnsi="Arial" w:cs="Arial"/>
          <w:sz w:val="20"/>
          <w:szCs w:val="20"/>
        </w:rPr>
        <w:t xml:space="preserve"> </w:t>
      </w:r>
      <w:r w:rsidR="00551170">
        <w:rPr>
          <w:rFonts w:ascii="Arial" w:hAnsi="Arial" w:cs="Arial"/>
          <w:sz w:val="20"/>
          <w:szCs w:val="20"/>
        </w:rPr>
        <w:t xml:space="preserve">Jurídica </w:t>
      </w:r>
      <w:r w:rsidR="00360D9E">
        <w:rPr>
          <w:rFonts w:ascii="Arial" w:hAnsi="Arial" w:cs="Arial"/>
          <w:sz w:val="20"/>
          <w:szCs w:val="20"/>
        </w:rPr>
        <w:t xml:space="preserve">estejam </w:t>
      </w:r>
      <w:r w:rsidR="00F215CA" w:rsidRPr="00CF0E68">
        <w:rPr>
          <w:rFonts w:ascii="Arial" w:hAnsi="Arial" w:cs="Arial"/>
          <w:sz w:val="20"/>
          <w:szCs w:val="20"/>
        </w:rPr>
        <w:t>capacita</w:t>
      </w:r>
      <w:r w:rsidR="00360D9E">
        <w:rPr>
          <w:rFonts w:ascii="Arial" w:hAnsi="Arial" w:cs="Arial"/>
          <w:sz w:val="20"/>
          <w:szCs w:val="20"/>
        </w:rPr>
        <w:t>do</w:t>
      </w:r>
      <w:r w:rsidR="00895FF5">
        <w:rPr>
          <w:rFonts w:ascii="Arial" w:hAnsi="Arial" w:cs="Arial"/>
          <w:sz w:val="20"/>
          <w:szCs w:val="20"/>
        </w:rPr>
        <w:t xml:space="preserve"> </w:t>
      </w:r>
      <w:r w:rsidR="00360D9E">
        <w:rPr>
          <w:rFonts w:ascii="Arial" w:hAnsi="Arial" w:cs="Arial"/>
          <w:sz w:val="20"/>
          <w:szCs w:val="20"/>
        </w:rPr>
        <w:t xml:space="preserve">sem conformidade com o </w:t>
      </w:r>
      <w:r w:rsidR="00767A76" w:rsidRPr="00CF0E68">
        <w:rPr>
          <w:rFonts w:ascii="Arial" w:hAnsi="Arial" w:cs="Arial"/>
          <w:sz w:val="20"/>
          <w:szCs w:val="20"/>
        </w:rPr>
        <w:t xml:space="preserve">disposto na Portaria n° </w:t>
      </w:r>
      <w:r w:rsidR="00690440">
        <w:rPr>
          <w:rFonts w:ascii="Arial" w:hAnsi="Arial" w:cs="Arial"/>
          <w:sz w:val="20"/>
          <w:szCs w:val="20"/>
        </w:rPr>
        <w:t>519</w:t>
      </w:r>
      <w:r w:rsidR="00767A76" w:rsidRPr="00CF0E68">
        <w:rPr>
          <w:rFonts w:ascii="Arial" w:hAnsi="Arial" w:cs="Arial"/>
          <w:sz w:val="20"/>
          <w:szCs w:val="20"/>
        </w:rPr>
        <w:t xml:space="preserve">, de </w:t>
      </w:r>
      <w:r w:rsidR="00690440">
        <w:rPr>
          <w:rFonts w:ascii="Arial" w:hAnsi="Arial" w:cs="Arial"/>
          <w:sz w:val="20"/>
          <w:szCs w:val="20"/>
        </w:rPr>
        <w:t>24</w:t>
      </w:r>
      <w:r w:rsidR="00767A76" w:rsidRPr="00CF0E68">
        <w:rPr>
          <w:rFonts w:ascii="Arial" w:hAnsi="Arial" w:cs="Arial"/>
          <w:sz w:val="20"/>
          <w:szCs w:val="20"/>
        </w:rPr>
        <w:t xml:space="preserve"> de </w:t>
      </w:r>
      <w:r w:rsidR="00690440">
        <w:rPr>
          <w:rFonts w:ascii="Arial" w:hAnsi="Arial" w:cs="Arial"/>
          <w:sz w:val="20"/>
          <w:szCs w:val="20"/>
        </w:rPr>
        <w:t>agosto</w:t>
      </w:r>
      <w:r w:rsidR="00767A76" w:rsidRPr="00CF0E68">
        <w:rPr>
          <w:rFonts w:ascii="Arial" w:hAnsi="Arial" w:cs="Arial"/>
          <w:sz w:val="20"/>
          <w:szCs w:val="20"/>
        </w:rPr>
        <w:t xml:space="preserve"> de 20</w:t>
      </w:r>
      <w:r w:rsidR="00690440">
        <w:rPr>
          <w:rFonts w:ascii="Arial" w:hAnsi="Arial" w:cs="Arial"/>
          <w:sz w:val="20"/>
          <w:szCs w:val="20"/>
        </w:rPr>
        <w:t>11</w:t>
      </w:r>
      <w:r w:rsidR="003B0B6E">
        <w:rPr>
          <w:rFonts w:ascii="Arial" w:hAnsi="Arial" w:cs="Arial"/>
          <w:sz w:val="20"/>
          <w:szCs w:val="20"/>
        </w:rPr>
        <w:t>, e suas alterações.</w:t>
      </w:r>
    </w:p>
    <w:p w:rsidR="0007016E" w:rsidRDefault="008C5F16" w:rsidP="0007016E">
      <w:pPr>
        <w:autoSpaceDE w:val="0"/>
        <w:autoSpaceDN w:val="0"/>
        <w:adjustRightInd w:val="0"/>
        <w:spacing w:line="312" w:lineRule="auto"/>
        <w:jc w:val="both"/>
        <w:rPr>
          <w:rFonts w:ascii="Arial" w:hAnsi="Arial" w:cs="Arial"/>
          <w:b/>
          <w:sz w:val="20"/>
          <w:szCs w:val="20"/>
        </w:rPr>
      </w:pPr>
      <w:r w:rsidRPr="0007016E">
        <w:rPr>
          <w:rFonts w:ascii="Arial" w:hAnsi="Arial" w:cs="Arial"/>
          <w:b/>
          <w:sz w:val="20"/>
          <w:szCs w:val="20"/>
        </w:rPr>
        <w:t>4.3.1. APRIMORAMENTO DO CIAP</w:t>
      </w:r>
    </w:p>
    <w:p w:rsidR="00F538CE" w:rsidRPr="0007016E" w:rsidRDefault="0007016E" w:rsidP="0007016E">
      <w:pPr>
        <w:autoSpaceDE w:val="0"/>
        <w:autoSpaceDN w:val="0"/>
        <w:adjustRightInd w:val="0"/>
        <w:spacing w:line="312"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2D4483">
        <w:rPr>
          <w:rFonts w:ascii="Arial" w:hAnsi="Arial" w:cs="Arial"/>
          <w:sz w:val="20"/>
          <w:szCs w:val="20"/>
        </w:rPr>
        <w:t xml:space="preserve">De acordo com esta Política, a AMPREV </w:t>
      </w:r>
      <w:r w:rsidR="00022525">
        <w:rPr>
          <w:rFonts w:ascii="Arial" w:hAnsi="Arial" w:cs="Arial"/>
          <w:sz w:val="20"/>
          <w:szCs w:val="20"/>
        </w:rPr>
        <w:t>deverá</w:t>
      </w:r>
      <w:r w:rsidR="002D4483">
        <w:rPr>
          <w:rFonts w:ascii="Arial" w:hAnsi="Arial" w:cs="Arial"/>
          <w:sz w:val="20"/>
          <w:szCs w:val="20"/>
        </w:rPr>
        <w:t xml:space="preserve"> ofertar qualificação</w:t>
      </w:r>
      <w:r w:rsidR="00895FF5">
        <w:rPr>
          <w:rFonts w:ascii="Arial" w:hAnsi="Arial" w:cs="Arial"/>
          <w:sz w:val="20"/>
          <w:szCs w:val="20"/>
        </w:rPr>
        <w:t xml:space="preserve"> </w:t>
      </w:r>
      <w:r w:rsidR="002D4483">
        <w:rPr>
          <w:rFonts w:ascii="Arial" w:hAnsi="Arial" w:cs="Arial"/>
          <w:sz w:val="20"/>
          <w:szCs w:val="20"/>
        </w:rPr>
        <w:t>contí</w:t>
      </w:r>
      <w:r w:rsidR="001A5CA7">
        <w:rPr>
          <w:rFonts w:ascii="Arial" w:hAnsi="Arial" w:cs="Arial"/>
          <w:sz w:val="20"/>
          <w:szCs w:val="20"/>
        </w:rPr>
        <w:t>nua</w:t>
      </w:r>
      <w:r w:rsidR="00895FF5">
        <w:rPr>
          <w:rFonts w:ascii="Arial" w:hAnsi="Arial" w:cs="Arial"/>
          <w:sz w:val="20"/>
          <w:szCs w:val="20"/>
        </w:rPr>
        <w:t xml:space="preserve"> </w:t>
      </w:r>
      <w:r w:rsidR="001A5CA7">
        <w:rPr>
          <w:rFonts w:ascii="Arial" w:hAnsi="Arial" w:cs="Arial"/>
          <w:sz w:val="20"/>
          <w:szCs w:val="20"/>
        </w:rPr>
        <w:t>aos membros do CIAP</w:t>
      </w:r>
      <w:r w:rsidR="002D4483">
        <w:rPr>
          <w:rFonts w:ascii="Arial" w:hAnsi="Arial" w:cs="Arial"/>
          <w:sz w:val="20"/>
          <w:szCs w:val="20"/>
        </w:rPr>
        <w:t xml:space="preserve"> sobre o conteúdo necessário para gestão de recursos financeiros de RPPS, abrangendo</w:t>
      </w:r>
      <w:r w:rsidR="001A5CA7">
        <w:rPr>
          <w:rFonts w:ascii="Arial" w:hAnsi="Arial" w:cs="Arial"/>
          <w:sz w:val="20"/>
          <w:szCs w:val="20"/>
        </w:rPr>
        <w:t>,</w:t>
      </w:r>
      <w:r w:rsidR="00022525">
        <w:rPr>
          <w:rFonts w:ascii="Arial" w:hAnsi="Arial" w:cs="Arial"/>
          <w:sz w:val="20"/>
          <w:szCs w:val="20"/>
        </w:rPr>
        <w:t xml:space="preserve"> de forma mais específica</w:t>
      </w:r>
      <w:r w:rsidR="001A5CA7">
        <w:rPr>
          <w:rFonts w:ascii="Arial" w:hAnsi="Arial" w:cs="Arial"/>
          <w:sz w:val="20"/>
          <w:szCs w:val="20"/>
        </w:rPr>
        <w:t>,</w:t>
      </w:r>
      <w:r w:rsidR="00022525">
        <w:rPr>
          <w:rFonts w:ascii="Arial" w:hAnsi="Arial" w:cs="Arial"/>
          <w:sz w:val="20"/>
          <w:szCs w:val="20"/>
        </w:rPr>
        <w:t xml:space="preserve"> o conteúdo </w:t>
      </w:r>
      <w:r w:rsidR="00F538CE">
        <w:rPr>
          <w:rFonts w:ascii="Arial" w:hAnsi="Arial" w:cs="Arial"/>
          <w:sz w:val="20"/>
          <w:szCs w:val="20"/>
        </w:rPr>
        <w:t>relacionado</w:t>
      </w:r>
      <w:r w:rsidR="00022525">
        <w:rPr>
          <w:rFonts w:ascii="Arial" w:hAnsi="Arial" w:cs="Arial"/>
          <w:sz w:val="20"/>
          <w:szCs w:val="20"/>
        </w:rPr>
        <w:t xml:space="preserve"> na</w:t>
      </w:r>
      <w:r w:rsidR="00895FF5">
        <w:rPr>
          <w:rFonts w:ascii="Arial" w:hAnsi="Arial" w:cs="Arial"/>
          <w:sz w:val="20"/>
          <w:szCs w:val="20"/>
        </w:rPr>
        <w:t xml:space="preserve"> </w:t>
      </w:r>
      <w:r w:rsidR="00F538CE" w:rsidRPr="00CF0E68">
        <w:rPr>
          <w:rFonts w:ascii="Arial" w:hAnsi="Arial" w:cs="Arial"/>
          <w:sz w:val="20"/>
          <w:szCs w:val="20"/>
        </w:rPr>
        <w:t xml:space="preserve">Portaria n° </w:t>
      </w:r>
      <w:r w:rsidR="00F538CE">
        <w:rPr>
          <w:rFonts w:ascii="Arial" w:hAnsi="Arial" w:cs="Arial"/>
          <w:sz w:val="20"/>
          <w:szCs w:val="20"/>
        </w:rPr>
        <w:t>519</w:t>
      </w:r>
      <w:r w:rsidR="00F538CE" w:rsidRPr="00CF0E68">
        <w:rPr>
          <w:rFonts w:ascii="Arial" w:hAnsi="Arial" w:cs="Arial"/>
          <w:sz w:val="20"/>
          <w:szCs w:val="20"/>
        </w:rPr>
        <w:t xml:space="preserve">, de </w:t>
      </w:r>
      <w:r w:rsidR="00F538CE">
        <w:rPr>
          <w:rFonts w:ascii="Arial" w:hAnsi="Arial" w:cs="Arial"/>
          <w:sz w:val="20"/>
          <w:szCs w:val="20"/>
        </w:rPr>
        <w:t>24</w:t>
      </w:r>
      <w:r w:rsidR="00F538CE" w:rsidRPr="00CF0E68">
        <w:rPr>
          <w:rFonts w:ascii="Arial" w:hAnsi="Arial" w:cs="Arial"/>
          <w:sz w:val="20"/>
          <w:szCs w:val="20"/>
        </w:rPr>
        <w:t xml:space="preserve"> de </w:t>
      </w:r>
      <w:r w:rsidR="00F538CE">
        <w:rPr>
          <w:rFonts w:ascii="Arial" w:hAnsi="Arial" w:cs="Arial"/>
          <w:sz w:val="20"/>
          <w:szCs w:val="20"/>
        </w:rPr>
        <w:t>agosto</w:t>
      </w:r>
      <w:r w:rsidR="00F538CE" w:rsidRPr="00CF0E68">
        <w:rPr>
          <w:rFonts w:ascii="Arial" w:hAnsi="Arial" w:cs="Arial"/>
          <w:sz w:val="20"/>
          <w:szCs w:val="20"/>
        </w:rPr>
        <w:t xml:space="preserve"> de 20</w:t>
      </w:r>
      <w:r w:rsidR="00F538CE">
        <w:rPr>
          <w:rFonts w:ascii="Arial" w:hAnsi="Arial" w:cs="Arial"/>
          <w:sz w:val="20"/>
          <w:szCs w:val="20"/>
        </w:rPr>
        <w:t>11,</w:t>
      </w:r>
      <w:r w:rsidR="0031570C">
        <w:rPr>
          <w:rFonts w:ascii="Arial" w:hAnsi="Arial" w:cs="Arial"/>
          <w:sz w:val="20"/>
          <w:szCs w:val="20"/>
        </w:rPr>
        <w:t xml:space="preserve"> e suas </w:t>
      </w:r>
      <w:r w:rsidR="00A41888">
        <w:rPr>
          <w:rFonts w:ascii="Arial" w:hAnsi="Arial" w:cs="Arial"/>
          <w:sz w:val="20"/>
          <w:szCs w:val="20"/>
        </w:rPr>
        <w:t xml:space="preserve">alterações, </w:t>
      </w:r>
      <w:r w:rsidR="00C81592">
        <w:rPr>
          <w:rFonts w:ascii="Arial" w:hAnsi="Arial" w:cs="Arial"/>
          <w:sz w:val="20"/>
          <w:szCs w:val="20"/>
        </w:rPr>
        <w:t>incluindo obrigatoriamente</w:t>
      </w:r>
      <w:r w:rsidR="00E11B98">
        <w:rPr>
          <w:rFonts w:ascii="Arial" w:hAnsi="Arial" w:cs="Arial"/>
          <w:sz w:val="20"/>
          <w:szCs w:val="20"/>
        </w:rPr>
        <w:t xml:space="preserve">, </w:t>
      </w:r>
      <w:r w:rsidR="00E11B98" w:rsidRPr="0014132F">
        <w:rPr>
          <w:rFonts w:ascii="Arial" w:hAnsi="Arial" w:cs="Arial"/>
          <w:sz w:val="20"/>
          <w:szCs w:val="20"/>
        </w:rPr>
        <w:t>no mínimo</w:t>
      </w:r>
      <w:r w:rsidR="00F538CE">
        <w:rPr>
          <w:rFonts w:ascii="Arial" w:hAnsi="Arial" w:cs="Arial"/>
          <w:sz w:val="20"/>
          <w:szCs w:val="20"/>
        </w:rPr>
        <w:t>:</w:t>
      </w:r>
    </w:p>
    <w:p w:rsidR="00F538CE" w:rsidRDefault="00F538CE" w:rsidP="0007016E">
      <w:pPr>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07016E">
        <w:rPr>
          <w:rFonts w:ascii="Arial" w:hAnsi="Arial" w:cs="Arial"/>
          <w:sz w:val="20"/>
          <w:szCs w:val="20"/>
        </w:rPr>
        <w:tab/>
      </w:r>
      <w:r>
        <w:rPr>
          <w:rFonts w:ascii="Arial" w:hAnsi="Arial" w:cs="Arial"/>
          <w:sz w:val="20"/>
          <w:szCs w:val="20"/>
        </w:rPr>
        <w:t>* Economia e Finanças;</w:t>
      </w:r>
    </w:p>
    <w:p w:rsidR="00F538CE" w:rsidRDefault="00F538CE" w:rsidP="00F538CE">
      <w:pPr>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07016E">
        <w:rPr>
          <w:rFonts w:ascii="Arial" w:hAnsi="Arial" w:cs="Arial"/>
          <w:sz w:val="20"/>
          <w:szCs w:val="20"/>
        </w:rPr>
        <w:tab/>
      </w:r>
      <w:r>
        <w:rPr>
          <w:rFonts w:ascii="Arial" w:hAnsi="Arial" w:cs="Arial"/>
          <w:sz w:val="20"/>
          <w:szCs w:val="20"/>
        </w:rPr>
        <w:t>* Sistema Financeiro Nacional;</w:t>
      </w:r>
    </w:p>
    <w:p w:rsidR="00F538CE" w:rsidRDefault="00F538CE" w:rsidP="00F538CE">
      <w:pPr>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07016E">
        <w:rPr>
          <w:rFonts w:ascii="Arial" w:hAnsi="Arial" w:cs="Arial"/>
          <w:sz w:val="20"/>
          <w:szCs w:val="20"/>
        </w:rPr>
        <w:tab/>
      </w:r>
      <w:r>
        <w:rPr>
          <w:rFonts w:ascii="Arial" w:hAnsi="Arial" w:cs="Arial"/>
          <w:sz w:val="20"/>
          <w:szCs w:val="20"/>
        </w:rPr>
        <w:t>* Instituições e Intermediários Financeiros;</w:t>
      </w:r>
    </w:p>
    <w:p w:rsidR="00F538CE" w:rsidRDefault="00F538CE" w:rsidP="00F538CE">
      <w:pPr>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07016E">
        <w:rPr>
          <w:rFonts w:ascii="Arial" w:hAnsi="Arial" w:cs="Arial"/>
          <w:sz w:val="20"/>
          <w:szCs w:val="20"/>
        </w:rPr>
        <w:tab/>
      </w:r>
      <w:r>
        <w:rPr>
          <w:rFonts w:ascii="Arial" w:hAnsi="Arial" w:cs="Arial"/>
          <w:sz w:val="20"/>
          <w:szCs w:val="20"/>
        </w:rPr>
        <w:t>* Mercado de Capitais;</w:t>
      </w:r>
    </w:p>
    <w:p w:rsidR="00F538CE" w:rsidRDefault="00F538CE" w:rsidP="00F538CE">
      <w:pPr>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07016E">
        <w:rPr>
          <w:rFonts w:ascii="Arial" w:hAnsi="Arial" w:cs="Arial"/>
          <w:sz w:val="20"/>
          <w:szCs w:val="20"/>
        </w:rPr>
        <w:tab/>
      </w:r>
      <w:r>
        <w:rPr>
          <w:rFonts w:ascii="Arial" w:hAnsi="Arial" w:cs="Arial"/>
          <w:sz w:val="20"/>
          <w:szCs w:val="20"/>
        </w:rPr>
        <w:t>* Mercado Financeiro;</w:t>
      </w:r>
    </w:p>
    <w:p w:rsidR="00F538CE" w:rsidRDefault="00F538CE" w:rsidP="00F538CE">
      <w:pPr>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07016E">
        <w:rPr>
          <w:rFonts w:ascii="Arial" w:hAnsi="Arial" w:cs="Arial"/>
          <w:sz w:val="20"/>
          <w:szCs w:val="20"/>
        </w:rPr>
        <w:tab/>
      </w:r>
      <w:r>
        <w:rPr>
          <w:rFonts w:ascii="Arial" w:hAnsi="Arial" w:cs="Arial"/>
          <w:sz w:val="20"/>
          <w:szCs w:val="20"/>
        </w:rPr>
        <w:t>* Mercado de Derivativos;</w:t>
      </w:r>
    </w:p>
    <w:p w:rsidR="00F538CE" w:rsidRDefault="00F538CE" w:rsidP="00F538CE">
      <w:pPr>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07016E">
        <w:rPr>
          <w:rFonts w:ascii="Arial" w:hAnsi="Arial" w:cs="Arial"/>
          <w:sz w:val="20"/>
          <w:szCs w:val="20"/>
        </w:rPr>
        <w:tab/>
      </w:r>
      <w:r w:rsidR="001A5CA7">
        <w:rPr>
          <w:rFonts w:ascii="Arial" w:hAnsi="Arial" w:cs="Arial"/>
          <w:sz w:val="20"/>
          <w:szCs w:val="20"/>
        </w:rPr>
        <w:t>* Fundos de Investimento.</w:t>
      </w:r>
    </w:p>
    <w:p w:rsidR="0007016E" w:rsidRDefault="0007016E" w:rsidP="0050329B">
      <w:pPr>
        <w:tabs>
          <w:tab w:val="left" w:pos="1134"/>
        </w:tabs>
        <w:autoSpaceDE w:val="0"/>
        <w:autoSpaceDN w:val="0"/>
        <w:adjustRightInd w:val="0"/>
        <w:spacing w:after="120"/>
        <w:rPr>
          <w:rFonts w:ascii="Arial" w:hAnsi="Arial" w:cs="Arial"/>
          <w:b/>
          <w:bCs/>
        </w:rPr>
      </w:pPr>
    </w:p>
    <w:p w:rsidR="00A70ECA" w:rsidRPr="0007016E" w:rsidRDefault="00A70ECA" w:rsidP="0050329B">
      <w:pPr>
        <w:tabs>
          <w:tab w:val="left" w:pos="1134"/>
        </w:tabs>
        <w:autoSpaceDE w:val="0"/>
        <w:autoSpaceDN w:val="0"/>
        <w:adjustRightInd w:val="0"/>
        <w:spacing w:after="120"/>
        <w:rPr>
          <w:rFonts w:ascii="Arial" w:hAnsi="Arial" w:cs="Arial"/>
          <w:b/>
          <w:bCs/>
          <w:smallCaps/>
          <w:sz w:val="20"/>
          <w:szCs w:val="20"/>
        </w:rPr>
      </w:pPr>
      <w:r w:rsidRPr="0007016E">
        <w:rPr>
          <w:rFonts w:ascii="Arial" w:hAnsi="Arial" w:cs="Arial"/>
          <w:b/>
          <w:bCs/>
          <w:sz w:val="20"/>
          <w:szCs w:val="20"/>
        </w:rPr>
        <w:t>4.</w:t>
      </w:r>
      <w:r w:rsidR="009E26C0" w:rsidRPr="0007016E">
        <w:rPr>
          <w:rFonts w:ascii="Arial" w:hAnsi="Arial" w:cs="Arial"/>
          <w:b/>
          <w:bCs/>
          <w:sz w:val="20"/>
          <w:szCs w:val="20"/>
        </w:rPr>
        <w:t>4</w:t>
      </w:r>
      <w:r w:rsidRPr="0007016E">
        <w:rPr>
          <w:rFonts w:ascii="Arial" w:hAnsi="Arial" w:cs="Arial"/>
          <w:b/>
          <w:bCs/>
          <w:sz w:val="20"/>
          <w:szCs w:val="20"/>
        </w:rPr>
        <w:t>.</w:t>
      </w:r>
      <w:r w:rsidR="00DF79E1">
        <w:rPr>
          <w:rFonts w:ascii="Arial" w:hAnsi="Arial" w:cs="Arial"/>
          <w:b/>
          <w:bCs/>
          <w:sz w:val="20"/>
          <w:szCs w:val="20"/>
        </w:rPr>
        <w:t xml:space="preserve"> </w:t>
      </w:r>
      <w:r w:rsidR="0007016E" w:rsidRPr="0007016E">
        <w:rPr>
          <w:rFonts w:ascii="Arial" w:hAnsi="Arial" w:cs="Arial"/>
          <w:b/>
          <w:bCs/>
          <w:sz w:val="20"/>
          <w:szCs w:val="20"/>
        </w:rPr>
        <w:t>POLÍTICA DE TRANSPARÊNCIA</w:t>
      </w:r>
    </w:p>
    <w:p w:rsidR="00F215CA" w:rsidRPr="00CF0E68" w:rsidRDefault="00160340" w:rsidP="00160340">
      <w:pPr>
        <w:autoSpaceDE w:val="0"/>
        <w:autoSpaceDN w:val="0"/>
        <w:adjustRightInd w:val="0"/>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F215CA" w:rsidRPr="00CF0E68">
        <w:rPr>
          <w:rFonts w:ascii="Arial" w:hAnsi="Arial" w:cs="Arial"/>
          <w:sz w:val="20"/>
          <w:szCs w:val="20"/>
        </w:rPr>
        <w:t>As i</w:t>
      </w:r>
      <w:r w:rsidR="00E44893">
        <w:rPr>
          <w:rFonts w:ascii="Arial" w:hAnsi="Arial" w:cs="Arial"/>
          <w:sz w:val="20"/>
          <w:szCs w:val="20"/>
        </w:rPr>
        <w:t>nformações relevantes</w:t>
      </w:r>
      <w:r w:rsidR="00C81592">
        <w:rPr>
          <w:rFonts w:ascii="Arial" w:hAnsi="Arial" w:cs="Arial"/>
          <w:sz w:val="20"/>
          <w:szCs w:val="20"/>
        </w:rPr>
        <w:t>,</w:t>
      </w:r>
      <w:r w:rsidR="00E44893">
        <w:rPr>
          <w:rFonts w:ascii="Arial" w:hAnsi="Arial" w:cs="Arial"/>
          <w:sz w:val="20"/>
          <w:szCs w:val="20"/>
        </w:rPr>
        <w:t xml:space="preserve"> referentes</w:t>
      </w:r>
      <w:r w:rsidR="00F215CA" w:rsidRPr="00CF0E68">
        <w:rPr>
          <w:rFonts w:ascii="Arial" w:hAnsi="Arial" w:cs="Arial"/>
          <w:sz w:val="20"/>
          <w:szCs w:val="20"/>
        </w:rPr>
        <w:t xml:space="preserve"> à gestão financeira d</w:t>
      </w:r>
      <w:r w:rsidR="00606DEF" w:rsidRPr="00CF0E68">
        <w:rPr>
          <w:rFonts w:ascii="Arial" w:hAnsi="Arial" w:cs="Arial"/>
          <w:sz w:val="20"/>
          <w:szCs w:val="20"/>
        </w:rPr>
        <w:t>a</w:t>
      </w:r>
      <w:r w:rsidR="00895FF5">
        <w:rPr>
          <w:rFonts w:ascii="Arial" w:hAnsi="Arial" w:cs="Arial"/>
          <w:sz w:val="20"/>
          <w:szCs w:val="20"/>
        </w:rPr>
        <w:t xml:space="preserve"> </w:t>
      </w:r>
      <w:r w:rsidR="00606DEF" w:rsidRPr="00CF0E68">
        <w:rPr>
          <w:rFonts w:ascii="Arial" w:hAnsi="Arial" w:cs="Arial"/>
          <w:sz w:val="20"/>
          <w:szCs w:val="20"/>
        </w:rPr>
        <w:t>AMPREV</w:t>
      </w:r>
      <w:r w:rsidR="00F215CA" w:rsidRPr="00CF0E68">
        <w:rPr>
          <w:rFonts w:ascii="Arial" w:hAnsi="Arial" w:cs="Arial"/>
          <w:sz w:val="20"/>
          <w:szCs w:val="20"/>
        </w:rPr>
        <w:t>, com</w:t>
      </w:r>
      <w:r w:rsidR="00895FF5">
        <w:rPr>
          <w:rFonts w:ascii="Arial" w:hAnsi="Arial" w:cs="Arial"/>
          <w:sz w:val="20"/>
          <w:szCs w:val="20"/>
        </w:rPr>
        <w:t xml:space="preserve"> </w:t>
      </w:r>
      <w:r w:rsidR="00F215CA" w:rsidRPr="00CF0E68">
        <w:rPr>
          <w:rFonts w:ascii="Arial" w:hAnsi="Arial" w:cs="Arial"/>
          <w:sz w:val="20"/>
          <w:szCs w:val="20"/>
        </w:rPr>
        <w:t>destaque para seu desempenho, serão disponibilizadas na página da Internet</w:t>
      </w:r>
      <w:r w:rsidR="00895FF5">
        <w:rPr>
          <w:rFonts w:ascii="Arial" w:hAnsi="Arial" w:cs="Arial"/>
          <w:sz w:val="20"/>
          <w:szCs w:val="20"/>
        </w:rPr>
        <w:t xml:space="preserve"> </w:t>
      </w:r>
      <w:r w:rsidR="0050329B" w:rsidRPr="00CF0E68">
        <w:rPr>
          <w:rFonts w:ascii="Arial" w:hAnsi="Arial" w:cs="Arial"/>
          <w:sz w:val="20"/>
          <w:szCs w:val="20"/>
        </w:rPr>
        <w:t>da Instituição</w:t>
      </w:r>
      <w:r w:rsidR="00767A76">
        <w:rPr>
          <w:rFonts w:ascii="Arial" w:hAnsi="Arial" w:cs="Arial"/>
          <w:sz w:val="20"/>
          <w:szCs w:val="20"/>
        </w:rPr>
        <w:t xml:space="preserve"> (www.amprev.ap.gov.br)</w:t>
      </w:r>
      <w:r w:rsidR="00F215CA" w:rsidRPr="00CF0E68">
        <w:rPr>
          <w:rFonts w:ascii="Arial" w:hAnsi="Arial" w:cs="Arial"/>
          <w:sz w:val="20"/>
          <w:szCs w:val="20"/>
        </w:rPr>
        <w:t>, com atualização mensal</w:t>
      </w:r>
      <w:r w:rsidR="00022525">
        <w:rPr>
          <w:rFonts w:ascii="Arial" w:hAnsi="Arial" w:cs="Arial"/>
          <w:sz w:val="20"/>
          <w:szCs w:val="20"/>
        </w:rPr>
        <w:t>. A Diretoria Executiva</w:t>
      </w:r>
      <w:r w:rsidR="00895FF5">
        <w:rPr>
          <w:rFonts w:ascii="Arial" w:hAnsi="Arial" w:cs="Arial"/>
          <w:sz w:val="20"/>
          <w:szCs w:val="20"/>
        </w:rPr>
        <w:t xml:space="preserve"> </w:t>
      </w:r>
      <w:r w:rsidR="00F809A4" w:rsidRPr="0014132F">
        <w:rPr>
          <w:rFonts w:ascii="Arial" w:hAnsi="Arial" w:cs="Arial"/>
          <w:sz w:val="20"/>
          <w:szCs w:val="20"/>
        </w:rPr>
        <w:t>deverá criar</w:t>
      </w:r>
      <w:r w:rsidR="00895FF5">
        <w:rPr>
          <w:rFonts w:ascii="Arial" w:hAnsi="Arial" w:cs="Arial"/>
          <w:sz w:val="20"/>
          <w:szCs w:val="20"/>
        </w:rPr>
        <w:t xml:space="preserve"> </w:t>
      </w:r>
      <w:r w:rsidR="00F215CA" w:rsidRPr="00CF0E68">
        <w:rPr>
          <w:rFonts w:ascii="Arial" w:hAnsi="Arial" w:cs="Arial"/>
          <w:sz w:val="20"/>
          <w:szCs w:val="20"/>
        </w:rPr>
        <w:t>canal de acesso para esclarecimento de dúvidas, sugestões e fiscalização por parte dos</w:t>
      </w:r>
      <w:r w:rsidR="00895FF5">
        <w:rPr>
          <w:rFonts w:ascii="Arial" w:hAnsi="Arial" w:cs="Arial"/>
          <w:sz w:val="20"/>
          <w:szCs w:val="20"/>
        </w:rPr>
        <w:t xml:space="preserve"> </w:t>
      </w:r>
      <w:r w:rsidR="0050329B" w:rsidRPr="00CF0E68">
        <w:rPr>
          <w:rFonts w:ascii="Arial" w:hAnsi="Arial" w:cs="Arial"/>
          <w:sz w:val="20"/>
          <w:szCs w:val="20"/>
        </w:rPr>
        <w:t>contribuintes</w:t>
      </w:r>
      <w:r w:rsidR="00F215CA" w:rsidRPr="00CF0E68">
        <w:rPr>
          <w:rFonts w:ascii="Arial" w:hAnsi="Arial" w:cs="Arial"/>
          <w:sz w:val="20"/>
          <w:szCs w:val="20"/>
        </w:rPr>
        <w:t xml:space="preserve"> e cidadãos.</w:t>
      </w:r>
    </w:p>
    <w:p w:rsidR="00F215CA" w:rsidRDefault="00160340" w:rsidP="00160340">
      <w:pPr>
        <w:autoSpaceDE w:val="0"/>
        <w:autoSpaceDN w:val="0"/>
        <w:adjustRightInd w:val="0"/>
        <w:spacing w:after="36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F215CA" w:rsidRPr="00CF0E68">
        <w:rPr>
          <w:rFonts w:ascii="Arial" w:hAnsi="Arial" w:cs="Arial"/>
          <w:sz w:val="20"/>
          <w:szCs w:val="20"/>
        </w:rPr>
        <w:t>As informações contidas n</w:t>
      </w:r>
      <w:r w:rsidR="00022525">
        <w:rPr>
          <w:rFonts w:ascii="Arial" w:hAnsi="Arial" w:cs="Arial"/>
          <w:sz w:val="20"/>
          <w:szCs w:val="20"/>
        </w:rPr>
        <w:t>est</w:t>
      </w:r>
      <w:r w:rsidR="00F215CA" w:rsidRPr="00CF0E68">
        <w:rPr>
          <w:rFonts w:ascii="Arial" w:hAnsi="Arial" w:cs="Arial"/>
          <w:sz w:val="20"/>
          <w:szCs w:val="20"/>
        </w:rPr>
        <w:t xml:space="preserve">a </w:t>
      </w:r>
      <w:r w:rsidR="0050329B" w:rsidRPr="00CF0E68">
        <w:rPr>
          <w:rFonts w:ascii="Arial" w:hAnsi="Arial" w:cs="Arial"/>
          <w:sz w:val="20"/>
          <w:szCs w:val="20"/>
        </w:rPr>
        <w:t>P</w:t>
      </w:r>
      <w:r w:rsidR="00F215CA" w:rsidRPr="00CF0E68">
        <w:rPr>
          <w:rFonts w:ascii="Arial" w:hAnsi="Arial" w:cs="Arial"/>
          <w:sz w:val="20"/>
          <w:szCs w:val="20"/>
        </w:rPr>
        <w:t xml:space="preserve">olítica de </w:t>
      </w:r>
      <w:r w:rsidR="0050329B" w:rsidRPr="00CF0E68">
        <w:rPr>
          <w:rFonts w:ascii="Arial" w:hAnsi="Arial" w:cs="Arial"/>
          <w:sz w:val="20"/>
          <w:szCs w:val="20"/>
        </w:rPr>
        <w:t>I</w:t>
      </w:r>
      <w:r w:rsidR="00F215CA" w:rsidRPr="00CF0E68">
        <w:rPr>
          <w:rFonts w:ascii="Arial" w:hAnsi="Arial" w:cs="Arial"/>
          <w:sz w:val="20"/>
          <w:szCs w:val="20"/>
        </w:rPr>
        <w:t>nvestimentos e suas revisões</w:t>
      </w:r>
      <w:r w:rsidR="00895FF5">
        <w:rPr>
          <w:rFonts w:ascii="Arial" w:hAnsi="Arial" w:cs="Arial"/>
          <w:sz w:val="20"/>
          <w:szCs w:val="20"/>
        </w:rPr>
        <w:t xml:space="preserve"> </w:t>
      </w:r>
      <w:r w:rsidR="00F215CA" w:rsidRPr="00CF0E68">
        <w:rPr>
          <w:rFonts w:ascii="Arial" w:hAnsi="Arial" w:cs="Arial"/>
          <w:sz w:val="20"/>
          <w:szCs w:val="20"/>
        </w:rPr>
        <w:t xml:space="preserve">deverão ser disponibilizadas a todos os interessados, observados os critérios estabelecidos </w:t>
      </w:r>
      <w:r w:rsidR="0050329B" w:rsidRPr="00CF0E68">
        <w:rPr>
          <w:rFonts w:ascii="Arial" w:hAnsi="Arial" w:cs="Arial"/>
          <w:sz w:val="20"/>
          <w:szCs w:val="20"/>
        </w:rPr>
        <w:t xml:space="preserve">na Portaria n° </w:t>
      </w:r>
      <w:r w:rsidR="00022525">
        <w:rPr>
          <w:rFonts w:ascii="Arial" w:hAnsi="Arial" w:cs="Arial"/>
          <w:sz w:val="20"/>
          <w:szCs w:val="20"/>
        </w:rPr>
        <w:t>519</w:t>
      </w:r>
      <w:r w:rsidR="00022525" w:rsidRPr="00CF0E68">
        <w:rPr>
          <w:rFonts w:ascii="Arial" w:hAnsi="Arial" w:cs="Arial"/>
          <w:sz w:val="20"/>
          <w:szCs w:val="20"/>
        </w:rPr>
        <w:t xml:space="preserve">, de </w:t>
      </w:r>
      <w:r w:rsidR="00022525">
        <w:rPr>
          <w:rFonts w:ascii="Arial" w:hAnsi="Arial" w:cs="Arial"/>
          <w:sz w:val="20"/>
          <w:szCs w:val="20"/>
        </w:rPr>
        <w:t>24</w:t>
      </w:r>
      <w:r w:rsidR="00022525" w:rsidRPr="00CF0E68">
        <w:rPr>
          <w:rFonts w:ascii="Arial" w:hAnsi="Arial" w:cs="Arial"/>
          <w:sz w:val="20"/>
          <w:szCs w:val="20"/>
        </w:rPr>
        <w:t xml:space="preserve"> de </w:t>
      </w:r>
      <w:r w:rsidR="00022525">
        <w:rPr>
          <w:rFonts w:ascii="Arial" w:hAnsi="Arial" w:cs="Arial"/>
          <w:sz w:val="20"/>
          <w:szCs w:val="20"/>
        </w:rPr>
        <w:t>agosto</w:t>
      </w:r>
      <w:r w:rsidR="00022525" w:rsidRPr="00CF0E68">
        <w:rPr>
          <w:rFonts w:ascii="Arial" w:hAnsi="Arial" w:cs="Arial"/>
          <w:sz w:val="20"/>
          <w:szCs w:val="20"/>
        </w:rPr>
        <w:t xml:space="preserve"> de 20</w:t>
      </w:r>
      <w:r w:rsidR="00022525">
        <w:rPr>
          <w:rFonts w:ascii="Arial" w:hAnsi="Arial" w:cs="Arial"/>
          <w:sz w:val="20"/>
          <w:szCs w:val="20"/>
        </w:rPr>
        <w:t>11</w:t>
      </w:r>
      <w:r w:rsidR="00E11B98">
        <w:rPr>
          <w:rFonts w:ascii="Arial" w:hAnsi="Arial" w:cs="Arial"/>
          <w:sz w:val="20"/>
          <w:szCs w:val="20"/>
        </w:rPr>
        <w:t xml:space="preserve"> e </w:t>
      </w:r>
      <w:r w:rsidR="00E11B98" w:rsidRPr="0014132F">
        <w:rPr>
          <w:rFonts w:ascii="Arial" w:hAnsi="Arial" w:cs="Arial"/>
          <w:sz w:val="20"/>
          <w:szCs w:val="20"/>
        </w:rPr>
        <w:t>suas alterações</w:t>
      </w:r>
      <w:r w:rsidR="00C81592">
        <w:rPr>
          <w:rFonts w:ascii="Arial" w:hAnsi="Arial" w:cs="Arial"/>
          <w:sz w:val="20"/>
          <w:szCs w:val="20"/>
        </w:rPr>
        <w:t>,</w:t>
      </w:r>
      <w:r w:rsidR="0050329B" w:rsidRPr="00CF0E68">
        <w:rPr>
          <w:rFonts w:ascii="Arial" w:hAnsi="Arial" w:cs="Arial"/>
          <w:sz w:val="20"/>
          <w:szCs w:val="20"/>
        </w:rPr>
        <w:t xml:space="preserve"> do</w:t>
      </w:r>
      <w:r w:rsidR="00895FF5">
        <w:rPr>
          <w:rFonts w:ascii="Arial" w:hAnsi="Arial" w:cs="Arial"/>
          <w:sz w:val="20"/>
          <w:szCs w:val="20"/>
        </w:rPr>
        <w:t xml:space="preserve"> </w:t>
      </w:r>
      <w:r w:rsidR="00F215CA" w:rsidRPr="00CF0E68">
        <w:rPr>
          <w:rFonts w:ascii="Arial" w:hAnsi="Arial" w:cs="Arial"/>
          <w:sz w:val="20"/>
          <w:szCs w:val="20"/>
        </w:rPr>
        <w:t>Ministério da Previdência Social.</w:t>
      </w:r>
      <w:r w:rsidR="00F520E3">
        <w:rPr>
          <w:rFonts w:ascii="Arial" w:hAnsi="Arial" w:cs="Arial"/>
          <w:sz w:val="20"/>
          <w:szCs w:val="20"/>
        </w:rPr>
        <w:t>Deverá ser</w:t>
      </w:r>
      <w:r w:rsidR="00F215CA" w:rsidRPr="00CF0E68">
        <w:rPr>
          <w:rFonts w:ascii="Arial" w:hAnsi="Arial" w:cs="Arial"/>
          <w:sz w:val="20"/>
          <w:szCs w:val="20"/>
        </w:rPr>
        <w:t xml:space="preserve"> providenciada a </w:t>
      </w:r>
      <w:r w:rsidR="00F809A4" w:rsidRPr="0014132F">
        <w:rPr>
          <w:rFonts w:ascii="Arial" w:hAnsi="Arial" w:cs="Arial"/>
          <w:sz w:val="20"/>
          <w:szCs w:val="20"/>
        </w:rPr>
        <w:t>publicação,</w:t>
      </w:r>
      <w:r w:rsidR="00B53A11">
        <w:rPr>
          <w:rFonts w:ascii="Arial" w:hAnsi="Arial" w:cs="Arial"/>
          <w:sz w:val="20"/>
          <w:szCs w:val="20"/>
        </w:rPr>
        <w:t>n</w:t>
      </w:r>
      <w:r w:rsidR="00F215CA" w:rsidRPr="00CF0E68">
        <w:rPr>
          <w:rFonts w:ascii="Arial" w:hAnsi="Arial" w:cs="Arial"/>
          <w:sz w:val="20"/>
          <w:szCs w:val="20"/>
        </w:rPr>
        <w:t>a íntegra</w:t>
      </w:r>
      <w:r w:rsidR="00C81592">
        <w:rPr>
          <w:rFonts w:ascii="Arial" w:hAnsi="Arial" w:cs="Arial"/>
          <w:sz w:val="20"/>
          <w:szCs w:val="20"/>
        </w:rPr>
        <w:t>,</w:t>
      </w:r>
      <w:r w:rsidR="00F215CA" w:rsidRPr="00CF0E68">
        <w:rPr>
          <w:rFonts w:ascii="Arial" w:hAnsi="Arial" w:cs="Arial"/>
          <w:sz w:val="20"/>
          <w:szCs w:val="20"/>
        </w:rPr>
        <w:t xml:space="preserve"> da </w:t>
      </w:r>
      <w:r w:rsidR="0050329B" w:rsidRPr="00CF0E68">
        <w:rPr>
          <w:rFonts w:ascii="Arial" w:hAnsi="Arial" w:cs="Arial"/>
          <w:sz w:val="20"/>
          <w:szCs w:val="20"/>
        </w:rPr>
        <w:t>P</w:t>
      </w:r>
      <w:r w:rsidR="00F215CA" w:rsidRPr="00CF0E68">
        <w:rPr>
          <w:rFonts w:ascii="Arial" w:hAnsi="Arial" w:cs="Arial"/>
          <w:sz w:val="20"/>
          <w:szCs w:val="20"/>
        </w:rPr>
        <w:t>olítica de</w:t>
      </w:r>
      <w:r w:rsidR="00895FF5">
        <w:rPr>
          <w:rFonts w:ascii="Arial" w:hAnsi="Arial" w:cs="Arial"/>
          <w:sz w:val="20"/>
          <w:szCs w:val="20"/>
        </w:rPr>
        <w:t xml:space="preserve"> </w:t>
      </w:r>
      <w:r w:rsidR="0050329B" w:rsidRPr="00CF0E68">
        <w:rPr>
          <w:rFonts w:ascii="Arial" w:hAnsi="Arial" w:cs="Arial"/>
          <w:sz w:val="20"/>
          <w:szCs w:val="20"/>
        </w:rPr>
        <w:t>I</w:t>
      </w:r>
      <w:r w:rsidR="00F215CA" w:rsidRPr="00CF0E68">
        <w:rPr>
          <w:rFonts w:ascii="Arial" w:hAnsi="Arial" w:cs="Arial"/>
          <w:sz w:val="20"/>
          <w:szCs w:val="20"/>
        </w:rPr>
        <w:t xml:space="preserve">nvestimentos </w:t>
      </w:r>
      <w:r w:rsidR="00872654" w:rsidRPr="0014132F">
        <w:rPr>
          <w:rFonts w:ascii="Arial" w:hAnsi="Arial" w:cs="Arial"/>
          <w:sz w:val="20"/>
          <w:szCs w:val="20"/>
        </w:rPr>
        <w:t xml:space="preserve">no Diário Oficial do Estado, bem como </w:t>
      </w:r>
      <w:r w:rsidR="00F215CA" w:rsidRPr="0014132F">
        <w:rPr>
          <w:rFonts w:ascii="Arial" w:hAnsi="Arial" w:cs="Arial"/>
          <w:sz w:val="20"/>
          <w:szCs w:val="20"/>
        </w:rPr>
        <w:t xml:space="preserve">na página </w:t>
      </w:r>
      <w:r w:rsidR="00C87B8F" w:rsidRPr="0014132F">
        <w:rPr>
          <w:rFonts w:ascii="Arial" w:hAnsi="Arial" w:cs="Arial"/>
          <w:sz w:val="20"/>
          <w:szCs w:val="20"/>
        </w:rPr>
        <w:t>da</w:t>
      </w:r>
      <w:r w:rsidR="00F809A4" w:rsidRPr="0014132F">
        <w:rPr>
          <w:rFonts w:ascii="Arial" w:hAnsi="Arial" w:cs="Arial"/>
          <w:sz w:val="20"/>
          <w:szCs w:val="20"/>
        </w:rPr>
        <w:t xml:space="preserve"> internet da</w:t>
      </w:r>
      <w:r w:rsidR="00C87B8F" w:rsidRPr="00CF0E68">
        <w:rPr>
          <w:rFonts w:ascii="Arial" w:hAnsi="Arial" w:cs="Arial"/>
          <w:sz w:val="20"/>
          <w:szCs w:val="20"/>
        </w:rPr>
        <w:t xml:space="preserve"> AMPREV, devendo</w:t>
      </w:r>
      <w:r w:rsidR="0014132F">
        <w:rPr>
          <w:rFonts w:ascii="Arial" w:hAnsi="Arial" w:cs="Arial"/>
          <w:sz w:val="20"/>
          <w:szCs w:val="20"/>
        </w:rPr>
        <w:t>,</w:t>
      </w:r>
      <w:r w:rsidR="00872654" w:rsidRPr="0014132F">
        <w:rPr>
          <w:rFonts w:ascii="Arial" w:hAnsi="Arial" w:cs="Arial"/>
          <w:sz w:val="20"/>
          <w:szCs w:val="20"/>
        </w:rPr>
        <w:t>ainda</w:t>
      </w:r>
      <w:r w:rsidR="0014132F" w:rsidRPr="0014132F">
        <w:rPr>
          <w:rFonts w:ascii="Arial" w:hAnsi="Arial" w:cs="Arial"/>
          <w:sz w:val="20"/>
          <w:szCs w:val="20"/>
        </w:rPr>
        <w:t>,</w:t>
      </w:r>
      <w:r w:rsidR="00C87B8F" w:rsidRPr="00CF0E68">
        <w:rPr>
          <w:rFonts w:ascii="Arial" w:hAnsi="Arial" w:cs="Arial"/>
          <w:sz w:val="20"/>
          <w:szCs w:val="20"/>
        </w:rPr>
        <w:t xml:space="preserve"> ser encaminhada </w:t>
      </w:r>
      <w:r w:rsidR="0004265F">
        <w:rPr>
          <w:rFonts w:ascii="Arial" w:hAnsi="Arial" w:cs="Arial"/>
          <w:sz w:val="20"/>
          <w:szCs w:val="20"/>
        </w:rPr>
        <w:t>à</w:t>
      </w:r>
      <w:r w:rsidR="00C87B8F" w:rsidRPr="00CF0E68">
        <w:rPr>
          <w:rFonts w:ascii="Arial" w:hAnsi="Arial" w:cs="Arial"/>
          <w:sz w:val="20"/>
          <w:szCs w:val="20"/>
        </w:rPr>
        <w:t xml:space="preserve">s Instituições Financeiras </w:t>
      </w:r>
      <w:r w:rsidR="0004265F">
        <w:rPr>
          <w:rFonts w:ascii="Arial" w:hAnsi="Arial" w:cs="Arial"/>
          <w:sz w:val="20"/>
          <w:szCs w:val="20"/>
        </w:rPr>
        <w:t xml:space="preserve">com as quais </w:t>
      </w:r>
      <w:r w:rsidR="00C87B8F" w:rsidRPr="00CF0E68">
        <w:rPr>
          <w:rFonts w:ascii="Arial" w:hAnsi="Arial" w:cs="Arial"/>
          <w:sz w:val="20"/>
          <w:szCs w:val="20"/>
        </w:rPr>
        <w:t xml:space="preserve">a </w:t>
      </w:r>
      <w:r w:rsidR="00FC1F02">
        <w:rPr>
          <w:rFonts w:ascii="Arial" w:hAnsi="Arial" w:cs="Arial"/>
          <w:sz w:val="20"/>
          <w:szCs w:val="20"/>
        </w:rPr>
        <w:t>AMPREV</w:t>
      </w:r>
      <w:r w:rsidR="00C87B8F" w:rsidRPr="00CF0E68">
        <w:rPr>
          <w:rFonts w:ascii="Arial" w:hAnsi="Arial" w:cs="Arial"/>
          <w:sz w:val="20"/>
          <w:szCs w:val="20"/>
        </w:rPr>
        <w:t xml:space="preserve"> oper</w:t>
      </w:r>
      <w:r w:rsidR="00C81592">
        <w:rPr>
          <w:rFonts w:ascii="Arial" w:hAnsi="Arial" w:cs="Arial"/>
          <w:sz w:val="20"/>
          <w:szCs w:val="20"/>
        </w:rPr>
        <w:t>e</w:t>
      </w:r>
      <w:r w:rsidR="00F215CA" w:rsidRPr="00CF0E68">
        <w:rPr>
          <w:rFonts w:ascii="Arial" w:hAnsi="Arial" w:cs="Arial"/>
          <w:sz w:val="20"/>
          <w:szCs w:val="20"/>
        </w:rPr>
        <w:t>.</w:t>
      </w:r>
    </w:p>
    <w:p w:rsidR="00F6577C" w:rsidRDefault="00F6577C" w:rsidP="00160340">
      <w:pPr>
        <w:autoSpaceDE w:val="0"/>
        <w:autoSpaceDN w:val="0"/>
        <w:adjustRightInd w:val="0"/>
        <w:spacing w:after="360" w:line="312" w:lineRule="auto"/>
        <w:jc w:val="both"/>
        <w:rPr>
          <w:rFonts w:ascii="Arial" w:hAnsi="Arial" w:cs="Arial"/>
          <w:sz w:val="20"/>
          <w:szCs w:val="20"/>
        </w:rPr>
      </w:pPr>
    </w:p>
    <w:p w:rsidR="00AC5D48" w:rsidRPr="00CF0E68" w:rsidRDefault="00AC5D48" w:rsidP="00160340">
      <w:pPr>
        <w:autoSpaceDE w:val="0"/>
        <w:autoSpaceDN w:val="0"/>
        <w:adjustRightInd w:val="0"/>
        <w:spacing w:after="360" w:line="312" w:lineRule="auto"/>
        <w:jc w:val="both"/>
        <w:rPr>
          <w:rFonts w:ascii="Arial" w:hAnsi="Arial" w:cs="Arial"/>
          <w:sz w:val="20"/>
          <w:szCs w:val="20"/>
        </w:rPr>
      </w:pPr>
    </w:p>
    <w:p w:rsidR="00B95B52" w:rsidRPr="00160340" w:rsidRDefault="00B95B52" w:rsidP="004C0394">
      <w:pPr>
        <w:autoSpaceDE w:val="0"/>
        <w:autoSpaceDN w:val="0"/>
        <w:adjustRightInd w:val="0"/>
        <w:spacing w:after="120"/>
        <w:rPr>
          <w:rFonts w:ascii="Arial" w:hAnsi="Arial" w:cs="Arial"/>
          <w:b/>
          <w:bCs/>
          <w:sz w:val="20"/>
          <w:szCs w:val="20"/>
        </w:rPr>
      </w:pPr>
      <w:r w:rsidRPr="00160340">
        <w:rPr>
          <w:rFonts w:ascii="Arial" w:hAnsi="Arial" w:cs="Arial"/>
          <w:b/>
          <w:bCs/>
          <w:sz w:val="20"/>
          <w:szCs w:val="20"/>
        </w:rPr>
        <w:lastRenderedPageBreak/>
        <w:t xml:space="preserve">4.5. </w:t>
      </w:r>
      <w:r w:rsidR="00160340" w:rsidRPr="00160340">
        <w:rPr>
          <w:rFonts w:ascii="Arial" w:hAnsi="Arial" w:cs="Arial"/>
          <w:b/>
          <w:bCs/>
          <w:sz w:val="20"/>
          <w:szCs w:val="20"/>
        </w:rPr>
        <w:t>ORIENTAÇÕES DE INVESTIMENTOS</w:t>
      </w:r>
    </w:p>
    <w:p w:rsidR="00C87B8F" w:rsidRDefault="00160340" w:rsidP="00160340">
      <w:pPr>
        <w:spacing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87B8F" w:rsidRPr="00E27B4E">
        <w:rPr>
          <w:rFonts w:ascii="Arial" w:hAnsi="Arial" w:cs="Arial"/>
          <w:sz w:val="20"/>
          <w:szCs w:val="20"/>
        </w:rPr>
        <w:t xml:space="preserve">As tabelas a seguir apresentam a estrutura dos investimentos (posição em </w:t>
      </w:r>
      <w:r w:rsidR="007D69FB" w:rsidRPr="0014132F">
        <w:rPr>
          <w:rFonts w:ascii="Arial" w:hAnsi="Arial" w:cs="Arial"/>
          <w:sz w:val="20"/>
          <w:szCs w:val="20"/>
        </w:rPr>
        <w:t>3</w:t>
      </w:r>
      <w:r w:rsidR="00B82524" w:rsidRPr="0014132F">
        <w:rPr>
          <w:rFonts w:ascii="Arial" w:hAnsi="Arial" w:cs="Arial"/>
          <w:sz w:val="20"/>
          <w:szCs w:val="20"/>
        </w:rPr>
        <w:t>1</w:t>
      </w:r>
      <w:r w:rsidR="007D69FB" w:rsidRPr="0014132F">
        <w:rPr>
          <w:rFonts w:ascii="Arial" w:hAnsi="Arial" w:cs="Arial"/>
          <w:sz w:val="20"/>
          <w:szCs w:val="20"/>
        </w:rPr>
        <w:t xml:space="preserve"> de </w:t>
      </w:r>
      <w:r w:rsidR="00B82524" w:rsidRPr="001D3FEB">
        <w:rPr>
          <w:rFonts w:ascii="Arial" w:hAnsi="Arial" w:cs="Arial"/>
          <w:sz w:val="20"/>
          <w:szCs w:val="20"/>
        </w:rPr>
        <w:t>outu</w:t>
      </w:r>
      <w:r w:rsidR="00872654" w:rsidRPr="001D3FEB">
        <w:rPr>
          <w:rFonts w:ascii="Arial" w:hAnsi="Arial" w:cs="Arial"/>
          <w:sz w:val="20"/>
          <w:szCs w:val="20"/>
        </w:rPr>
        <w:t>bro</w:t>
      </w:r>
      <w:r w:rsidR="00895FF5">
        <w:rPr>
          <w:rFonts w:ascii="Arial" w:hAnsi="Arial" w:cs="Arial"/>
          <w:sz w:val="20"/>
          <w:szCs w:val="20"/>
        </w:rPr>
        <w:t xml:space="preserve"> </w:t>
      </w:r>
      <w:r w:rsidR="00C87B8F" w:rsidRPr="0014132F">
        <w:rPr>
          <w:rFonts w:ascii="Arial" w:hAnsi="Arial" w:cs="Arial"/>
          <w:sz w:val="20"/>
          <w:szCs w:val="20"/>
        </w:rPr>
        <w:t>de 20</w:t>
      </w:r>
      <w:r w:rsidR="00EB2D1D" w:rsidRPr="0014132F">
        <w:rPr>
          <w:rFonts w:ascii="Arial" w:hAnsi="Arial" w:cs="Arial"/>
          <w:sz w:val="20"/>
          <w:szCs w:val="20"/>
        </w:rPr>
        <w:t>1</w:t>
      </w:r>
      <w:r w:rsidR="00F6577C">
        <w:rPr>
          <w:rFonts w:ascii="Arial" w:hAnsi="Arial" w:cs="Arial"/>
          <w:sz w:val="20"/>
          <w:szCs w:val="20"/>
        </w:rPr>
        <w:t>4</w:t>
      </w:r>
      <w:r w:rsidR="00C87B8F" w:rsidRPr="00E27B4E">
        <w:rPr>
          <w:rFonts w:ascii="Arial" w:hAnsi="Arial" w:cs="Arial"/>
          <w:sz w:val="20"/>
          <w:szCs w:val="20"/>
        </w:rPr>
        <w:t>)</w:t>
      </w:r>
      <w:r w:rsidR="004C0394">
        <w:rPr>
          <w:rFonts w:ascii="Arial" w:hAnsi="Arial" w:cs="Arial"/>
          <w:sz w:val="20"/>
          <w:szCs w:val="20"/>
        </w:rPr>
        <w:t xml:space="preserve">, </w:t>
      </w:r>
      <w:r w:rsidR="004C0394" w:rsidRPr="0014132F">
        <w:rPr>
          <w:rFonts w:ascii="Arial" w:hAnsi="Arial" w:cs="Arial"/>
          <w:sz w:val="20"/>
          <w:szCs w:val="20"/>
        </w:rPr>
        <w:t>do</w:t>
      </w:r>
      <w:r w:rsidR="00872654" w:rsidRPr="0014132F">
        <w:rPr>
          <w:rFonts w:ascii="Arial" w:hAnsi="Arial" w:cs="Arial"/>
          <w:sz w:val="20"/>
          <w:szCs w:val="20"/>
        </w:rPr>
        <w:t>s</w:t>
      </w:r>
      <w:r w:rsidR="004C0394" w:rsidRPr="0014132F">
        <w:rPr>
          <w:rFonts w:ascii="Arial" w:hAnsi="Arial" w:cs="Arial"/>
          <w:sz w:val="20"/>
          <w:szCs w:val="20"/>
        </w:rPr>
        <w:t xml:space="preserve"> Plano</w:t>
      </w:r>
      <w:r w:rsidR="00872654" w:rsidRPr="0014132F">
        <w:rPr>
          <w:rFonts w:ascii="Arial" w:hAnsi="Arial" w:cs="Arial"/>
          <w:sz w:val="20"/>
          <w:szCs w:val="20"/>
        </w:rPr>
        <w:t>s</w:t>
      </w:r>
      <w:r w:rsidR="004C0394">
        <w:rPr>
          <w:rFonts w:ascii="Arial" w:hAnsi="Arial" w:cs="Arial"/>
          <w:sz w:val="20"/>
          <w:szCs w:val="20"/>
        </w:rPr>
        <w:t xml:space="preserve"> Financeiro </w:t>
      </w:r>
      <w:r w:rsidR="004C0394" w:rsidRPr="00872654">
        <w:rPr>
          <w:rFonts w:ascii="Arial" w:hAnsi="Arial" w:cs="Arial"/>
          <w:sz w:val="20"/>
          <w:szCs w:val="20"/>
        </w:rPr>
        <w:t>e</w:t>
      </w:r>
      <w:r w:rsidR="00895FF5">
        <w:rPr>
          <w:rFonts w:ascii="Arial" w:hAnsi="Arial" w:cs="Arial"/>
          <w:sz w:val="20"/>
          <w:szCs w:val="20"/>
        </w:rPr>
        <w:t xml:space="preserve"> </w:t>
      </w:r>
      <w:r w:rsidR="004C0394">
        <w:rPr>
          <w:rFonts w:ascii="Arial" w:hAnsi="Arial" w:cs="Arial"/>
          <w:sz w:val="20"/>
          <w:szCs w:val="20"/>
        </w:rPr>
        <w:t>Previdenciário,</w:t>
      </w:r>
      <w:r w:rsidR="00C81592">
        <w:rPr>
          <w:rFonts w:ascii="Arial" w:hAnsi="Arial" w:cs="Arial"/>
          <w:sz w:val="20"/>
          <w:szCs w:val="20"/>
        </w:rPr>
        <w:t>bem como</w:t>
      </w:r>
      <w:r w:rsidR="00C87B8F" w:rsidRPr="00E27B4E">
        <w:rPr>
          <w:rFonts w:ascii="Arial" w:hAnsi="Arial" w:cs="Arial"/>
          <w:sz w:val="20"/>
          <w:szCs w:val="20"/>
        </w:rPr>
        <w:t xml:space="preserve"> o </w:t>
      </w:r>
      <w:r w:rsidR="00C72A1A">
        <w:rPr>
          <w:rFonts w:ascii="Arial" w:hAnsi="Arial" w:cs="Arial"/>
          <w:sz w:val="20"/>
          <w:szCs w:val="20"/>
        </w:rPr>
        <w:t>enquadramento</w:t>
      </w:r>
      <w:r w:rsidR="00C87B8F" w:rsidRPr="00E27B4E">
        <w:rPr>
          <w:rFonts w:ascii="Arial" w:hAnsi="Arial" w:cs="Arial"/>
          <w:sz w:val="20"/>
          <w:szCs w:val="20"/>
        </w:rPr>
        <w:t xml:space="preserve"> dos recursos administrados pela AMPREV, conforme especificações da </w:t>
      </w:r>
      <w:r w:rsidR="00B53A11" w:rsidRPr="00E27B4E">
        <w:rPr>
          <w:rFonts w:ascii="Arial" w:hAnsi="Arial" w:cs="Arial"/>
          <w:sz w:val="20"/>
          <w:szCs w:val="20"/>
        </w:rPr>
        <w:t>Resolução CMN n° 3.</w:t>
      </w:r>
      <w:r w:rsidR="008E6C7C">
        <w:rPr>
          <w:rFonts w:ascii="Arial" w:hAnsi="Arial" w:cs="Arial"/>
          <w:sz w:val="20"/>
          <w:szCs w:val="20"/>
        </w:rPr>
        <w:t>922</w:t>
      </w:r>
      <w:r w:rsidR="00B53A11" w:rsidRPr="00E27B4E">
        <w:rPr>
          <w:rFonts w:ascii="Arial" w:hAnsi="Arial" w:cs="Arial"/>
          <w:sz w:val="20"/>
          <w:szCs w:val="20"/>
        </w:rPr>
        <w:t>/20</w:t>
      </w:r>
      <w:r w:rsidR="008E6C7C">
        <w:rPr>
          <w:rFonts w:ascii="Arial" w:hAnsi="Arial" w:cs="Arial"/>
          <w:sz w:val="20"/>
          <w:szCs w:val="20"/>
        </w:rPr>
        <w:t>10</w:t>
      </w:r>
      <w:r w:rsidR="00C87B8F" w:rsidRPr="00E27B4E">
        <w:rPr>
          <w:rFonts w:ascii="Arial" w:hAnsi="Arial" w:cs="Arial"/>
          <w:sz w:val="20"/>
          <w:szCs w:val="20"/>
        </w:rPr>
        <w:t>.</w:t>
      </w:r>
    </w:p>
    <w:p w:rsidR="00160340" w:rsidRDefault="00160340" w:rsidP="00BA766E">
      <w:pPr>
        <w:spacing w:after="120"/>
        <w:jc w:val="center"/>
        <w:rPr>
          <w:rFonts w:ascii="Arial" w:hAnsi="Arial" w:cs="Arial"/>
          <w:smallCaps/>
          <w:color w:val="000000"/>
          <w:sz w:val="20"/>
          <w:szCs w:val="20"/>
        </w:rPr>
      </w:pPr>
      <w:bookmarkStart w:id="12" w:name="_Toc58920732"/>
      <w:bookmarkStart w:id="13" w:name="_Toc89741038"/>
      <w:bookmarkStart w:id="14" w:name="_Toc117158008"/>
      <w:bookmarkStart w:id="15" w:name="_Toc121816168"/>
      <w:bookmarkStart w:id="16" w:name="_Toc184808361"/>
      <w:r w:rsidRPr="00CF76F9">
        <w:rPr>
          <w:rFonts w:ascii="Arial" w:hAnsi="Arial" w:cs="Arial"/>
          <w:b/>
          <w:smallCaps/>
          <w:color w:val="000000"/>
          <w:sz w:val="20"/>
          <w:szCs w:val="20"/>
        </w:rPr>
        <w:t>ESTRUTURA ATUAL DOS PRODUTOS DE INVESTIMENTOS</w:t>
      </w:r>
      <w:r w:rsidRPr="00C50C09">
        <w:rPr>
          <w:rFonts w:ascii="Arial" w:hAnsi="Arial" w:cs="Arial"/>
          <w:smallCaps/>
          <w:color w:val="000000"/>
          <w:sz w:val="20"/>
          <w:szCs w:val="20"/>
        </w:rPr>
        <w:t>:</w:t>
      </w:r>
    </w:p>
    <w:tbl>
      <w:tblPr>
        <w:tblW w:w="8946" w:type="dxa"/>
        <w:tblInd w:w="55" w:type="dxa"/>
        <w:tblCellMar>
          <w:left w:w="70" w:type="dxa"/>
          <w:right w:w="70" w:type="dxa"/>
        </w:tblCellMar>
        <w:tblLook w:val="04A0" w:firstRow="1" w:lastRow="0" w:firstColumn="1" w:lastColumn="0" w:noHBand="0" w:noVBand="1"/>
      </w:tblPr>
      <w:tblGrid>
        <w:gridCol w:w="2850"/>
        <w:gridCol w:w="1701"/>
        <w:gridCol w:w="993"/>
        <w:gridCol w:w="1134"/>
        <w:gridCol w:w="754"/>
        <w:gridCol w:w="805"/>
        <w:gridCol w:w="709"/>
      </w:tblGrid>
      <w:tr w:rsidR="00E854E4" w:rsidRPr="00E854E4" w:rsidTr="00DC00D2">
        <w:trPr>
          <w:trHeight w:val="255"/>
        </w:trPr>
        <w:tc>
          <w:tcPr>
            <w:tcW w:w="8946" w:type="dxa"/>
            <w:gridSpan w:val="7"/>
            <w:tcBorders>
              <w:top w:val="single" w:sz="12" w:space="0" w:color="auto"/>
              <w:left w:val="single" w:sz="12" w:space="0" w:color="auto"/>
              <w:bottom w:val="nil"/>
              <w:right w:val="single" w:sz="12" w:space="0" w:color="auto"/>
            </w:tcBorders>
            <w:shd w:val="clear" w:color="auto" w:fill="003300"/>
            <w:noWrap/>
            <w:vAlign w:val="center"/>
            <w:hideMark/>
          </w:tcPr>
          <w:p w:rsidR="00E854E4" w:rsidRPr="00222EF2" w:rsidRDefault="00E854E4" w:rsidP="008B6C9D">
            <w:pPr>
              <w:jc w:val="center"/>
              <w:rPr>
                <w:rFonts w:ascii="Arial" w:hAnsi="Arial" w:cs="Arial"/>
                <w:b/>
                <w:bCs/>
                <w:color w:val="FFFFFF" w:themeColor="background1"/>
                <w:sz w:val="20"/>
                <w:szCs w:val="20"/>
              </w:rPr>
            </w:pPr>
            <w:r w:rsidRPr="00222EF2">
              <w:rPr>
                <w:rFonts w:ascii="Arial" w:hAnsi="Arial" w:cs="Arial"/>
                <w:b/>
                <w:bCs/>
                <w:color w:val="FFFFFF" w:themeColor="background1"/>
                <w:sz w:val="20"/>
                <w:szCs w:val="20"/>
              </w:rPr>
              <w:t>PLANO FINANCEIRO</w:t>
            </w:r>
          </w:p>
        </w:tc>
      </w:tr>
      <w:tr w:rsidR="00E854E4" w:rsidRPr="00E854E4" w:rsidTr="00DC00D2">
        <w:trPr>
          <w:trHeight w:val="255"/>
        </w:trPr>
        <w:tc>
          <w:tcPr>
            <w:tcW w:w="8946" w:type="dxa"/>
            <w:gridSpan w:val="7"/>
            <w:tcBorders>
              <w:top w:val="single" w:sz="12" w:space="0" w:color="auto"/>
              <w:left w:val="single" w:sz="12" w:space="0" w:color="auto"/>
              <w:bottom w:val="nil"/>
              <w:right w:val="single" w:sz="12" w:space="0" w:color="auto"/>
            </w:tcBorders>
            <w:shd w:val="clear" w:color="auto" w:fill="003300"/>
            <w:noWrap/>
            <w:vAlign w:val="center"/>
            <w:hideMark/>
          </w:tcPr>
          <w:p w:rsidR="00E854E4" w:rsidRPr="00222EF2" w:rsidRDefault="00E854E4" w:rsidP="008B6C9D">
            <w:pPr>
              <w:jc w:val="center"/>
              <w:rPr>
                <w:rFonts w:ascii="Arial" w:hAnsi="Arial" w:cs="Arial"/>
                <w:b/>
                <w:bCs/>
                <w:color w:val="FFFFFF" w:themeColor="background1"/>
                <w:sz w:val="20"/>
                <w:szCs w:val="20"/>
              </w:rPr>
            </w:pPr>
            <w:r w:rsidRPr="00222EF2">
              <w:rPr>
                <w:rFonts w:ascii="Arial" w:hAnsi="Arial" w:cs="Arial"/>
                <w:b/>
                <w:bCs/>
                <w:color w:val="FFFFFF" w:themeColor="background1"/>
                <w:sz w:val="20"/>
                <w:szCs w:val="20"/>
              </w:rPr>
              <w:t>DISPONIBILIDADE E ENQUADRAMENTO LEGAL DA CARTEIRA DA AMPREV</w:t>
            </w:r>
          </w:p>
        </w:tc>
      </w:tr>
      <w:tr w:rsidR="00F15237" w:rsidRPr="008B6C9D" w:rsidTr="00DC00D2">
        <w:trPr>
          <w:trHeight w:val="255"/>
        </w:trPr>
        <w:tc>
          <w:tcPr>
            <w:tcW w:w="2850" w:type="dxa"/>
            <w:tcBorders>
              <w:top w:val="single" w:sz="12" w:space="0" w:color="auto"/>
              <w:left w:val="single" w:sz="12" w:space="0" w:color="auto"/>
              <w:bottom w:val="nil"/>
              <w:right w:val="nil"/>
            </w:tcBorders>
            <w:shd w:val="clear" w:color="auto" w:fill="auto"/>
            <w:noWrap/>
            <w:vAlign w:val="center"/>
            <w:hideMark/>
          </w:tcPr>
          <w:p w:rsidR="00F15237" w:rsidRPr="008B6C9D" w:rsidRDefault="00F15237" w:rsidP="008B6C9D">
            <w:pPr>
              <w:jc w:val="center"/>
              <w:rPr>
                <w:rFonts w:ascii="Arial" w:hAnsi="Arial" w:cs="Arial"/>
                <w:b/>
                <w:bCs/>
                <w:sz w:val="15"/>
                <w:szCs w:val="15"/>
              </w:rPr>
            </w:pPr>
            <w:r w:rsidRPr="008B6C9D">
              <w:rPr>
                <w:rFonts w:ascii="Arial" w:hAnsi="Arial" w:cs="Arial"/>
                <w:b/>
                <w:bCs/>
                <w:sz w:val="15"/>
                <w:szCs w:val="15"/>
              </w:rPr>
              <w:t> </w:t>
            </w:r>
          </w:p>
        </w:tc>
        <w:tc>
          <w:tcPr>
            <w:tcW w:w="1701" w:type="dxa"/>
            <w:tcBorders>
              <w:top w:val="single" w:sz="12" w:space="0" w:color="auto"/>
              <w:left w:val="single" w:sz="12" w:space="0" w:color="auto"/>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Enquadramento</w:t>
            </w:r>
          </w:p>
        </w:tc>
        <w:tc>
          <w:tcPr>
            <w:tcW w:w="993" w:type="dxa"/>
            <w:tcBorders>
              <w:top w:val="single" w:sz="12" w:space="0" w:color="auto"/>
              <w:left w:val="single" w:sz="12" w:space="0" w:color="auto"/>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 </w:t>
            </w:r>
          </w:p>
        </w:tc>
        <w:tc>
          <w:tcPr>
            <w:tcW w:w="1134" w:type="dxa"/>
            <w:tcBorders>
              <w:top w:val="single" w:sz="12" w:space="0" w:color="auto"/>
              <w:left w:val="nil"/>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Total por</w:t>
            </w:r>
          </w:p>
        </w:tc>
        <w:tc>
          <w:tcPr>
            <w:tcW w:w="754" w:type="dxa"/>
            <w:tcBorders>
              <w:top w:val="single" w:sz="12" w:space="0" w:color="auto"/>
              <w:left w:val="nil"/>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Percentual no</w:t>
            </w:r>
          </w:p>
        </w:tc>
        <w:tc>
          <w:tcPr>
            <w:tcW w:w="805" w:type="dxa"/>
            <w:tcBorders>
              <w:top w:val="single" w:sz="12" w:space="0" w:color="auto"/>
              <w:left w:val="nil"/>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Limite Max.</w:t>
            </w:r>
          </w:p>
        </w:tc>
        <w:tc>
          <w:tcPr>
            <w:tcW w:w="709" w:type="dxa"/>
            <w:tcBorders>
              <w:top w:val="single" w:sz="12" w:space="0" w:color="auto"/>
              <w:left w:val="nil"/>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Limite Max.</w:t>
            </w:r>
          </w:p>
        </w:tc>
      </w:tr>
      <w:tr w:rsidR="00F15237" w:rsidRPr="008B6C9D" w:rsidTr="00DC00D2">
        <w:trPr>
          <w:trHeight w:val="255"/>
        </w:trPr>
        <w:tc>
          <w:tcPr>
            <w:tcW w:w="2850" w:type="dxa"/>
            <w:tcBorders>
              <w:top w:val="nil"/>
              <w:left w:val="single" w:sz="12" w:space="0" w:color="auto"/>
              <w:bottom w:val="nil"/>
              <w:right w:val="nil"/>
            </w:tcBorders>
            <w:shd w:val="clear" w:color="auto" w:fill="auto"/>
            <w:noWrap/>
            <w:vAlign w:val="center"/>
            <w:hideMark/>
          </w:tcPr>
          <w:p w:rsidR="00F15237" w:rsidRPr="008B6C9D" w:rsidRDefault="00F15237" w:rsidP="008B6C9D">
            <w:pPr>
              <w:jc w:val="center"/>
              <w:rPr>
                <w:rFonts w:ascii="Arial" w:hAnsi="Arial" w:cs="Arial"/>
                <w:b/>
                <w:bCs/>
                <w:sz w:val="15"/>
                <w:szCs w:val="15"/>
              </w:rPr>
            </w:pPr>
            <w:r w:rsidRPr="008B6C9D">
              <w:rPr>
                <w:rFonts w:ascii="Arial" w:hAnsi="Arial" w:cs="Arial"/>
                <w:b/>
                <w:bCs/>
                <w:sz w:val="15"/>
                <w:szCs w:val="15"/>
              </w:rPr>
              <w:t>APLICAÇÕES</w:t>
            </w:r>
          </w:p>
        </w:tc>
        <w:tc>
          <w:tcPr>
            <w:tcW w:w="1701" w:type="dxa"/>
            <w:tcBorders>
              <w:top w:val="nil"/>
              <w:left w:val="single" w:sz="12" w:space="0" w:color="auto"/>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Resolução</w:t>
            </w:r>
          </w:p>
        </w:tc>
        <w:tc>
          <w:tcPr>
            <w:tcW w:w="993" w:type="dxa"/>
            <w:tcBorders>
              <w:top w:val="nil"/>
              <w:left w:val="single" w:sz="12" w:space="0" w:color="auto"/>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Valor R$</w:t>
            </w:r>
          </w:p>
        </w:tc>
        <w:tc>
          <w:tcPr>
            <w:tcW w:w="1134" w:type="dxa"/>
            <w:tcBorders>
              <w:top w:val="nil"/>
              <w:left w:val="nil"/>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Segmento</w:t>
            </w:r>
          </w:p>
        </w:tc>
        <w:tc>
          <w:tcPr>
            <w:tcW w:w="754" w:type="dxa"/>
            <w:tcBorders>
              <w:top w:val="nil"/>
              <w:left w:val="nil"/>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Patr. Liquido</w:t>
            </w:r>
          </w:p>
        </w:tc>
        <w:tc>
          <w:tcPr>
            <w:tcW w:w="805" w:type="dxa"/>
            <w:tcBorders>
              <w:top w:val="nil"/>
              <w:left w:val="nil"/>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Permitido Res.</w:t>
            </w:r>
          </w:p>
        </w:tc>
        <w:tc>
          <w:tcPr>
            <w:tcW w:w="709" w:type="dxa"/>
            <w:tcBorders>
              <w:top w:val="nil"/>
              <w:left w:val="nil"/>
              <w:bottom w:val="nil"/>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Polit. Invest.</w:t>
            </w:r>
          </w:p>
        </w:tc>
      </w:tr>
      <w:tr w:rsidR="00F15237" w:rsidRPr="008B6C9D" w:rsidTr="00DC00D2">
        <w:trPr>
          <w:trHeight w:val="270"/>
        </w:trPr>
        <w:tc>
          <w:tcPr>
            <w:tcW w:w="2850" w:type="dxa"/>
            <w:tcBorders>
              <w:top w:val="nil"/>
              <w:left w:val="single" w:sz="12" w:space="0" w:color="auto"/>
              <w:bottom w:val="single" w:sz="12" w:space="0" w:color="auto"/>
              <w:right w:val="nil"/>
            </w:tcBorders>
            <w:shd w:val="clear" w:color="auto" w:fill="auto"/>
            <w:noWrap/>
            <w:vAlign w:val="center"/>
            <w:hideMark/>
          </w:tcPr>
          <w:p w:rsidR="00F15237" w:rsidRPr="008B6C9D" w:rsidRDefault="00F15237" w:rsidP="008B6C9D">
            <w:pPr>
              <w:jc w:val="center"/>
              <w:rPr>
                <w:rFonts w:ascii="Arial" w:hAnsi="Arial" w:cs="Arial"/>
                <w:b/>
                <w:bCs/>
                <w:sz w:val="15"/>
                <w:szCs w:val="15"/>
              </w:rPr>
            </w:pPr>
            <w:r w:rsidRPr="008B6C9D">
              <w:rPr>
                <w:rFonts w:ascii="Arial" w:hAnsi="Arial" w:cs="Arial"/>
                <w:b/>
                <w:bCs/>
                <w:sz w:val="15"/>
                <w:szCs w:val="15"/>
              </w:rPr>
              <w:t> </w:t>
            </w:r>
          </w:p>
        </w:tc>
        <w:tc>
          <w:tcPr>
            <w:tcW w:w="1701" w:type="dxa"/>
            <w:tcBorders>
              <w:top w:val="nil"/>
              <w:left w:val="single" w:sz="12" w:space="0" w:color="auto"/>
              <w:bottom w:val="single" w:sz="12" w:space="0" w:color="auto"/>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3.922/2010-CMN</w:t>
            </w:r>
          </w:p>
        </w:tc>
        <w:tc>
          <w:tcPr>
            <w:tcW w:w="993" w:type="dxa"/>
            <w:tcBorders>
              <w:top w:val="nil"/>
              <w:left w:val="single" w:sz="12" w:space="0" w:color="auto"/>
              <w:bottom w:val="single" w:sz="12" w:space="0" w:color="auto"/>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 </w:t>
            </w:r>
          </w:p>
        </w:tc>
        <w:tc>
          <w:tcPr>
            <w:tcW w:w="1134" w:type="dxa"/>
            <w:tcBorders>
              <w:top w:val="nil"/>
              <w:left w:val="nil"/>
              <w:bottom w:val="single" w:sz="12" w:space="0" w:color="auto"/>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em R$</w:t>
            </w:r>
          </w:p>
        </w:tc>
        <w:tc>
          <w:tcPr>
            <w:tcW w:w="754" w:type="dxa"/>
            <w:tcBorders>
              <w:top w:val="nil"/>
              <w:left w:val="nil"/>
              <w:bottom w:val="single" w:sz="12" w:space="0" w:color="auto"/>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da AMPREV</w:t>
            </w:r>
          </w:p>
        </w:tc>
        <w:tc>
          <w:tcPr>
            <w:tcW w:w="805" w:type="dxa"/>
            <w:tcBorders>
              <w:top w:val="nil"/>
              <w:left w:val="nil"/>
              <w:bottom w:val="single" w:sz="12" w:space="0" w:color="auto"/>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3.922/2010-CMN</w:t>
            </w:r>
          </w:p>
        </w:tc>
        <w:tc>
          <w:tcPr>
            <w:tcW w:w="709" w:type="dxa"/>
            <w:tcBorders>
              <w:top w:val="nil"/>
              <w:left w:val="nil"/>
              <w:bottom w:val="single" w:sz="12" w:space="0" w:color="auto"/>
              <w:right w:val="single" w:sz="12" w:space="0" w:color="auto"/>
            </w:tcBorders>
            <w:shd w:val="clear" w:color="auto" w:fill="auto"/>
            <w:noWrap/>
            <w:vAlign w:val="center"/>
            <w:hideMark/>
          </w:tcPr>
          <w:p w:rsidR="00F15237" w:rsidRPr="008B6C9D" w:rsidRDefault="00F15237" w:rsidP="008B6C9D">
            <w:pPr>
              <w:jc w:val="center"/>
              <w:rPr>
                <w:rFonts w:ascii="Arial" w:hAnsi="Arial" w:cs="Arial"/>
                <w:b/>
                <w:bCs/>
                <w:sz w:val="12"/>
                <w:szCs w:val="12"/>
              </w:rPr>
            </w:pPr>
            <w:r w:rsidRPr="008B6C9D">
              <w:rPr>
                <w:rFonts w:ascii="Arial" w:hAnsi="Arial" w:cs="Arial"/>
                <w:b/>
                <w:bCs/>
                <w:sz w:val="12"/>
                <w:szCs w:val="12"/>
              </w:rPr>
              <w:t>da AMPREV</w:t>
            </w:r>
          </w:p>
        </w:tc>
      </w:tr>
      <w:tr w:rsidR="00F15237" w:rsidRPr="008B6C9D" w:rsidTr="00DC00D2">
        <w:trPr>
          <w:trHeight w:hRule="exact" w:val="227"/>
        </w:trPr>
        <w:tc>
          <w:tcPr>
            <w:tcW w:w="2850" w:type="dxa"/>
            <w:tcBorders>
              <w:top w:val="single" w:sz="12" w:space="0" w:color="auto"/>
              <w:left w:val="single" w:sz="12" w:space="0" w:color="auto"/>
              <w:bottom w:val="single" w:sz="4" w:space="0" w:color="auto"/>
              <w:right w:val="single" w:sz="4" w:space="0" w:color="auto"/>
            </w:tcBorders>
            <w:shd w:val="clear" w:color="000000" w:fill="CCECFF"/>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Carteira Administrada Banco do Brasil - LFT (POS)</w:t>
            </w:r>
          </w:p>
        </w:tc>
        <w:tc>
          <w:tcPr>
            <w:tcW w:w="1701" w:type="dxa"/>
            <w:tcBorders>
              <w:top w:val="single" w:sz="12" w:space="0" w:color="auto"/>
              <w:left w:val="nil"/>
              <w:bottom w:val="single" w:sz="4" w:space="0" w:color="auto"/>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 alínea "a"</w:t>
            </w:r>
          </w:p>
        </w:tc>
        <w:tc>
          <w:tcPr>
            <w:tcW w:w="993" w:type="dxa"/>
            <w:tcBorders>
              <w:top w:val="single" w:sz="12" w:space="0" w:color="auto"/>
              <w:left w:val="single" w:sz="4" w:space="0" w:color="auto"/>
              <w:bottom w:val="nil"/>
              <w:right w:val="nil"/>
            </w:tcBorders>
            <w:shd w:val="clear" w:color="000000" w:fill="CCECFF"/>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12.694.587,42 </w:t>
            </w:r>
          </w:p>
        </w:tc>
        <w:tc>
          <w:tcPr>
            <w:tcW w:w="1134" w:type="dxa"/>
            <w:tcBorders>
              <w:top w:val="single" w:sz="12" w:space="0" w:color="auto"/>
              <w:left w:val="single" w:sz="4" w:space="0" w:color="auto"/>
              <w:bottom w:val="nil"/>
              <w:right w:val="single" w:sz="4" w:space="0" w:color="auto"/>
            </w:tcBorders>
            <w:shd w:val="clear" w:color="000000" w:fill="CCECFF"/>
            <w:noWrap/>
            <w:vAlign w:val="center"/>
            <w:hideMark/>
          </w:tcPr>
          <w:p w:rsidR="00F15237" w:rsidRPr="008B6C9D" w:rsidRDefault="00F15237" w:rsidP="008B6C9D">
            <w:pPr>
              <w:rPr>
                <w:rFonts w:ascii="Arial" w:hAnsi="Arial" w:cs="Arial"/>
                <w:sz w:val="12"/>
                <w:szCs w:val="12"/>
              </w:rPr>
            </w:pPr>
            <w:r w:rsidRPr="008B6C9D">
              <w:rPr>
                <w:rFonts w:ascii="Arial" w:hAnsi="Arial" w:cs="Arial"/>
                <w:sz w:val="12"/>
                <w:szCs w:val="12"/>
              </w:rPr>
              <w:t> </w:t>
            </w:r>
          </w:p>
        </w:tc>
        <w:tc>
          <w:tcPr>
            <w:tcW w:w="754" w:type="dxa"/>
            <w:tcBorders>
              <w:top w:val="single" w:sz="12" w:space="0" w:color="auto"/>
              <w:left w:val="nil"/>
              <w:bottom w:val="nil"/>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single" w:sz="12" w:space="0" w:color="auto"/>
              <w:left w:val="nil"/>
              <w:bottom w:val="nil"/>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single" w:sz="12" w:space="0" w:color="auto"/>
              <w:left w:val="nil"/>
              <w:bottom w:val="nil"/>
              <w:right w:val="single" w:sz="12"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CCECFF"/>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Carteira Administrada Banco do Brasil - NTN-B (POS)</w:t>
            </w:r>
          </w:p>
        </w:tc>
        <w:tc>
          <w:tcPr>
            <w:tcW w:w="1701" w:type="dxa"/>
            <w:tcBorders>
              <w:top w:val="nil"/>
              <w:left w:val="nil"/>
              <w:bottom w:val="single" w:sz="4" w:space="0" w:color="auto"/>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 alínea "a"</w:t>
            </w:r>
          </w:p>
        </w:tc>
        <w:tc>
          <w:tcPr>
            <w:tcW w:w="993" w:type="dxa"/>
            <w:tcBorders>
              <w:top w:val="single" w:sz="4" w:space="0" w:color="auto"/>
              <w:left w:val="single" w:sz="4" w:space="0" w:color="auto"/>
              <w:bottom w:val="single" w:sz="4" w:space="0" w:color="auto"/>
              <w:right w:val="nil"/>
            </w:tcBorders>
            <w:shd w:val="clear" w:color="000000" w:fill="CCECFF"/>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572.021.270,98 </w:t>
            </w:r>
          </w:p>
        </w:tc>
        <w:tc>
          <w:tcPr>
            <w:tcW w:w="1134" w:type="dxa"/>
            <w:tcBorders>
              <w:top w:val="nil"/>
              <w:left w:val="single" w:sz="4" w:space="0" w:color="auto"/>
              <w:bottom w:val="nil"/>
              <w:right w:val="single" w:sz="4" w:space="0" w:color="auto"/>
            </w:tcBorders>
            <w:shd w:val="clear" w:color="000000" w:fill="CCECFF"/>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655.837.501,85 </w:t>
            </w:r>
          </w:p>
        </w:tc>
        <w:tc>
          <w:tcPr>
            <w:tcW w:w="754" w:type="dxa"/>
            <w:tcBorders>
              <w:top w:val="nil"/>
              <w:left w:val="nil"/>
              <w:bottom w:val="nil"/>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35,86%</w:t>
            </w:r>
          </w:p>
        </w:tc>
        <w:tc>
          <w:tcPr>
            <w:tcW w:w="805" w:type="dxa"/>
            <w:tcBorders>
              <w:top w:val="nil"/>
              <w:left w:val="nil"/>
              <w:bottom w:val="nil"/>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100,00%</w:t>
            </w:r>
          </w:p>
        </w:tc>
        <w:tc>
          <w:tcPr>
            <w:tcW w:w="709" w:type="dxa"/>
            <w:tcBorders>
              <w:top w:val="nil"/>
              <w:left w:val="nil"/>
              <w:bottom w:val="nil"/>
              <w:right w:val="single" w:sz="12"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100,00%</w:t>
            </w:r>
          </w:p>
        </w:tc>
      </w:tr>
      <w:tr w:rsidR="00F15237" w:rsidRPr="008B6C9D" w:rsidTr="00DC00D2">
        <w:trPr>
          <w:trHeight w:hRule="exact" w:val="227"/>
        </w:trPr>
        <w:tc>
          <w:tcPr>
            <w:tcW w:w="2850" w:type="dxa"/>
            <w:tcBorders>
              <w:top w:val="nil"/>
              <w:left w:val="single" w:sz="12" w:space="0" w:color="auto"/>
              <w:bottom w:val="nil"/>
              <w:right w:val="single" w:sz="4" w:space="0" w:color="auto"/>
            </w:tcBorders>
            <w:shd w:val="clear" w:color="000000" w:fill="CCECFF"/>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Carteira Administrada Banco do Brasil - LTN (PRE)</w:t>
            </w:r>
          </w:p>
        </w:tc>
        <w:tc>
          <w:tcPr>
            <w:tcW w:w="1701" w:type="dxa"/>
            <w:tcBorders>
              <w:top w:val="nil"/>
              <w:left w:val="nil"/>
              <w:bottom w:val="nil"/>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 alínea "a"</w:t>
            </w:r>
          </w:p>
        </w:tc>
        <w:tc>
          <w:tcPr>
            <w:tcW w:w="993" w:type="dxa"/>
            <w:tcBorders>
              <w:top w:val="nil"/>
              <w:left w:val="single" w:sz="4" w:space="0" w:color="auto"/>
              <w:bottom w:val="nil"/>
              <w:right w:val="single" w:sz="4" w:space="0" w:color="auto"/>
            </w:tcBorders>
            <w:shd w:val="clear" w:color="000000" w:fill="CCECFF"/>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20.808.618,45 </w:t>
            </w:r>
          </w:p>
        </w:tc>
        <w:tc>
          <w:tcPr>
            <w:tcW w:w="1134" w:type="dxa"/>
            <w:tcBorders>
              <w:top w:val="nil"/>
              <w:left w:val="nil"/>
              <w:bottom w:val="nil"/>
              <w:right w:val="single" w:sz="4" w:space="0" w:color="auto"/>
            </w:tcBorders>
            <w:shd w:val="clear" w:color="000000" w:fill="CCECFF"/>
            <w:noWrap/>
            <w:vAlign w:val="center"/>
            <w:hideMark/>
          </w:tcPr>
          <w:p w:rsidR="00F15237" w:rsidRPr="008B6C9D" w:rsidRDefault="00F15237" w:rsidP="008B6C9D">
            <w:pPr>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12" w:space="0" w:color="auto"/>
              <w:right w:val="single" w:sz="4" w:space="0" w:color="auto"/>
            </w:tcBorders>
            <w:shd w:val="clear" w:color="000000" w:fill="CCECFF"/>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 xml:space="preserve">Carteira Administrada BTG Pactual </w:t>
            </w:r>
          </w:p>
        </w:tc>
        <w:tc>
          <w:tcPr>
            <w:tcW w:w="1701" w:type="dxa"/>
            <w:tcBorders>
              <w:top w:val="single" w:sz="4" w:space="0" w:color="auto"/>
              <w:left w:val="nil"/>
              <w:bottom w:val="single" w:sz="12" w:space="0" w:color="auto"/>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 alínea "a"</w:t>
            </w:r>
          </w:p>
        </w:tc>
        <w:tc>
          <w:tcPr>
            <w:tcW w:w="993" w:type="dxa"/>
            <w:tcBorders>
              <w:top w:val="single" w:sz="4" w:space="0" w:color="auto"/>
              <w:left w:val="single" w:sz="4" w:space="0" w:color="auto"/>
              <w:bottom w:val="single" w:sz="12" w:space="0" w:color="auto"/>
              <w:right w:val="single" w:sz="4" w:space="0" w:color="auto"/>
            </w:tcBorders>
            <w:shd w:val="clear" w:color="000000" w:fill="CCECFF"/>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50.313.025,00 </w:t>
            </w:r>
          </w:p>
        </w:tc>
        <w:tc>
          <w:tcPr>
            <w:tcW w:w="1134" w:type="dxa"/>
            <w:tcBorders>
              <w:top w:val="nil"/>
              <w:left w:val="nil"/>
              <w:bottom w:val="single" w:sz="12" w:space="0" w:color="auto"/>
              <w:right w:val="single" w:sz="4" w:space="0" w:color="auto"/>
            </w:tcBorders>
            <w:shd w:val="clear" w:color="000000" w:fill="CCECFF"/>
            <w:noWrap/>
            <w:vAlign w:val="center"/>
            <w:hideMark/>
          </w:tcPr>
          <w:p w:rsidR="00F15237" w:rsidRPr="008B6C9D" w:rsidRDefault="00F15237" w:rsidP="008B6C9D">
            <w:pPr>
              <w:rPr>
                <w:rFonts w:ascii="Arial" w:hAnsi="Arial" w:cs="Arial"/>
                <w:sz w:val="12"/>
                <w:szCs w:val="12"/>
              </w:rPr>
            </w:pPr>
            <w:r w:rsidRPr="008B6C9D">
              <w:rPr>
                <w:rFonts w:ascii="Arial" w:hAnsi="Arial" w:cs="Arial"/>
                <w:sz w:val="12"/>
                <w:szCs w:val="12"/>
              </w:rPr>
              <w:t> </w:t>
            </w:r>
          </w:p>
        </w:tc>
        <w:tc>
          <w:tcPr>
            <w:tcW w:w="754" w:type="dxa"/>
            <w:tcBorders>
              <w:top w:val="nil"/>
              <w:left w:val="nil"/>
              <w:bottom w:val="single" w:sz="12" w:space="0" w:color="auto"/>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single" w:sz="12" w:space="0" w:color="auto"/>
              <w:right w:val="single" w:sz="4"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CCECFF"/>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12" w:space="0" w:color="auto"/>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Itaú Institucional RF Inflação FIC FI</w:t>
            </w:r>
          </w:p>
        </w:tc>
        <w:tc>
          <w:tcPr>
            <w:tcW w:w="1701" w:type="dxa"/>
            <w:tcBorders>
              <w:top w:val="single" w:sz="12" w:space="0" w:color="auto"/>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 alínea "b"</w:t>
            </w:r>
          </w:p>
        </w:tc>
        <w:tc>
          <w:tcPr>
            <w:tcW w:w="993" w:type="dxa"/>
            <w:tcBorders>
              <w:top w:val="single" w:sz="12" w:space="0" w:color="auto"/>
              <w:left w:val="nil"/>
              <w:bottom w:val="single" w:sz="4"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95.305.009,10 </w:t>
            </w:r>
          </w:p>
        </w:tc>
        <w:tc>
          <w:tcPr>
            <w:tcW w:w="1134"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single" w:sz="12" w:space="0" w:color="auto"/>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Itaú Institucional RF Inflação 5 FIC FI</w:t>
            </w:r>
          </w:p>
        </w:tc>
        <w:tc>
          <w:tcPr>
            <w:tcW w:w="1701" w:type="dxa"/>
            <w:tcBorders>
              <w:top w:val="nil"/>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 alínea "b"</w:t>
            </w:r>
          </w:p>
        </w:tc>
        <w:tc>
          <w:tcPr>
            <w:tcW w:w="993" w:type="dxa"/>
            <w:tcBorders>
              <w:top w:val="nil"/>
              <w:left w:val="single" w:sz="4" w:space="0" w:color="auto"/>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12.035.809,49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Itaú Institucional RF Pre LP FIC FI</w:t>
            </w:r>
          </w:p>
        </w:tc>
        <w:tc>
          <w:tcPr>
            <w:tcW w:w="1701" w:type="dxa"/>
            <w:tcBorders>
              <w:top w:val="nil"/>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 alínea "b"</w:t>
            </w:r>
          </w:p>
        </w:tc>
        <w:tc>
          <w:tcPr>
            <w:tcW w:w="993" w:type="dxa"/>
            <w:tcBorders>
              <w:top w:val="nil"/>
              <w:left w:val="single" w:sz="4" w:space="0" w:color="auto"/>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5.115.590,19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Santander FIC FI IMA-B Títulos Públicos Renda Fixa</w:t>
            </w:r>
          </w:p>
        </w:tc>
        <w:tc>
          <w:tcPr>
            <w:tcW w:w="1701" w:type="dxa"/>
            <w:tcBorders>
              <w:top w:val="nil"/>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 alínea "b"</w:t>
            </w:r>
          </w:p>
        </w:tc>
        <w:tc>
          <w:tcPr>
            <w:tcW w:w="993" w:type="dxa"/>
            <w:tcBorders>
              <w:top w:val="nil"/>
              <w:left w:val="single" w:sz="4" w:space="0" w:color="auto"/>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68.395.724,46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216.825.331,50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11,85%</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100,00%</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100,00%</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F15237">
            <w:pPr>
              <w:rPr>
                <w:rFonts w:ascii="Arial" w:hAnsi="Arial" w:cs="Arial"/>
                <w:sz w:val="11"/>
                <w:szCs w:val="11"/>
              </w:rPr>
            </w:pPr>
            <w:r w:rsidRPr="008B6C9D">
              <w:rPr>
                <w:rFonts w:ascii="Arial" w:hAnsi="Arial" w:cs="Arial"/>
                <w:sz w:val="11"/>
                <w:szCs w:val="11"/>
              </w:rPr>
              <w:t>Santander FIC FI IMA-B Institucional TP RF LP</w:t>
            </w:r>
          </w:p>
        </w:tc>
        <w:tc>
          <w:tcPr>
            <w:tcW w:w="1701" w:type="dxa"/>
            <w:tcBorders>
              <w:top w:val="nil"/>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 alínea "b"</w:t>
            </w:r>
          </w:p>
        </w:tc>
        <w:tc>
          <w:tcPr>
            <w:tcW w:w="993" w:type="dxa"/>
            <w:tcBorders>
              <w:top w:val="nil"/>
              <w:left w:val="single" w:sz="4" w:space="0" w:color="auto"/>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9.451.852,87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FI Caixa Brasil IMA-B 5 Títulos Públicos RF LP</w:t>
            </w:r>
          </w:p>
        </w:tc>
        <w:tc>
          <w:tcPr>
            <w:tcW w:w="1701"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 alínea "b"</w:t>
            </w:r>
          </w:p>
        </w:tc>
        <w:tc>
          <w:tcPr>
            <w:tcW w:w="993" w:type="dxa"/>
            <w:tcBorders>
              <w:top w:val="nil"/>
              <w:left w:val="single" w:sz="4" w:space="0" w:color="auto"/>
              <w:bottom w:val="nil"/>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16.410.736,63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12"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Caixa Brasil IRF - M 1 + TP RF LP</w:t>
            </w:r>
          </w:p>
        </w:tc>
        <w:tc>
          <w:tcPr>
            <w:tcW w:w="1701" w:type="dxa"/>
            <w:tcBorders>
              <w:top w:val="single" w:sz="4" w:space="0" w:color="auto"/>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 alínea "b"</w:t>
            </w:r>
          </w:p>
        </w:tc>
        <w:tc>
          <w:tcPr>
            <w:tcW w:w="993" w:type="dxa"/>
            <w:tcBorders>
              <w:top w:val="single" w:sz="4" w:space="0" w:color="auto"/>
              <w:left w:val="single" w:sz="4" w:space="0" w:color="auto"/>
              <w:bottom w:val="single" w:sz="12"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10.110.608,76 </w:t>
            </w:r>
          </w:p>
        </w:tc>
        <w:tc>
          <w:tcPr>
            <w:tcW w:w="1134"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12" w:space="0" w:color="auto"/>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BB Previdenciário Renda Fixa IMA-B FI</w:t>
            </w:r>
          </w:p>
        </w:tc>
        <w:tc>
          <w:tcPr>
            <w:tcW w:w="1701" w:type="dxa"/>
            <w:tcBorders>
              <w:top w:val="single" w:sz="12" w:space="0" w:color="auto"/>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III</w:t>
            </w:r>
          </w:p>
        </w:tc>
        <w:tc>
          <w:tcPr>
            <w:tcW w:w="993" w:type="dxa"/>
            <w:tcBorders>
              <w:top w:val="single" w:sz="12" w:space="0" w:color="auto"/>
              <w:left w:val="nil"/>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245.259,75 </w:t>
            </w:r>
          </w:p>
        </w:tc>
        <w:tc>
          <w:tcPr>
            <w:tcW w:w="1134" w:type="dxa"/>
            <w:tcBorders>
              <w:top w:val="single" w:sz="12" w:space="0" w:color="auto"/>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single" w:sz="12" w:space="0" w:color="auto"/>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FIC FI Caixa Novo Brasil  IMA-B Renda Fixa LP</w:t>
            </w:r>
          </w:p>
        </w:tc>
        <w:tc>
          <w:tcPr>
            <w:tcW w:w="1701" w:type="dxa"/>
            <w:tcBorders>
              <w:top w:val="nil"/>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III</w:t>
            </w:r>
          </w:p>
        </w:tc>
        <w:tc>
          <w:tcPr>
            <w:tcW w:w="993" w:type="dxa"/>
            <w:tcBorders>
              <w:top w:val="nil"/>
              <w:left w:val="single" w:sz="4" w:space="0" w:color="auto"/>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87.015.022,40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Bradesco Institucional FIC  FI Renda Fixa IMA-B</w:t>
            </w:r>
          </w:p>
        </w:tc>
        <w:tc>
          <w:tcPr>
            <w:tcW w:w="1701" w:type="dxa"/>
            <w:tcBorders>
              <w:top w:val="nil"/>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III</w:t>
            </w:r>
          </w:p>
        </w:tc>
        <w:tc>
          <w:tcPr>
            <w:tcW w:w="993" w:type="dxa"/>
            <w:tcBorders>
              <w:top w:val="nil"/>
              <w:left w:val="single" w:sz="4" w:space="0" w:color="auto"/>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184.746.573,82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411.735.104,76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22,51%</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80,00%</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80,00%</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Bradesco Institucional FIC  FI Renda Fixa IMA-Geral</w:t>
            </w:r>
          </w:p>
        </w:tc>
        <w:tc>
          <w:tcPr>
            <w:tcW w:w="1701" w:type="dxa"/>
            <w:tcBorders>
              <w:top w:val="nil"/>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III</w:t>
            </w:r>
          </w:p>
        </w:tc>
        <w:tc>
          <w:tcPr>
            <w:tcW w:w="993" w:type="dxa"/>
            <w:tcBorders>
              <w:top w:val="nil"/>
              <w:left w:val="single" w:sz="4" w:space="0" w:color="auto"/>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99.426.394,77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Bradesco Institucional FIC  FI Renda Fixa IMA-B 5+</w:t>
            </w:r>
          </w:p>
        </w:tc>
        <w:tc>
          <w:tcPr>
            <w:tcW w:w="1701" w:type="dxa"/>
            <w:tcBorders>
              <w:top w:val="nil"/>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III</w:t>
            </w:r>
          </w:p>
        </w:tc>
        <w:tc>
          <w:tcPr>
            <w:tcW w:w="993" w:type="dxa"/>
            <w:tcBorders>
              <w:top w:val="nil"/>
              <w:left w:val="single" w:sz="4" w:space="0" w:color="auto"/>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1.439.149,98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nil"/>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BTG Pactual FI RF IMA B</w:t>
            </w:r>
          </w:p>
        </w:tc>
        <w:tc>
          <w:tcPr>
            <w:tcW w:w="1701"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III</w:t>
            </w:r>
          </w:p>
        </w:tc>
        <w:tc>
          <w:tcPr>
            <w:tcW w:w="993" w:type="dxa"/>
            <w:tcBorders>
              <w:top w:val="nil"/>
              <w:left w:val="single" w:sz="4" w:space="0" w:color="auto"/>
              <w:bottom w:val="nil"/>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23.404.093,34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12"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BTG Pactual IPCA FI Renda Fixa</w:t>
            </w:r>
          </w:p>
        </w:tc>
        <w:tc>
          <w:tcPr>
            <w:tcW w:w="1701" w:type="dxa"/>
            <w:tcBorders>
              <w:top w:val="single" w:sz="4" w:space="0" w:color="auto"/>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III</w:t>
            </w:r>
          </w:p>
        </w:tc>
        <w:tc>
          <w:tcPr>
            <w:tcW w:w="993" w:type="dxa"/>
            <w:tcBorders>
              <w:top w:val="single" w:sz="4" w:space="0" w:color="auto"/>
              <w:left w:val="single" w:sz="4" w:space="0" w:color="auto"/>
              <w:bottom w:val="single" w:sz="12"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15.458.610,70 </w:t>
            </w:r>
          </w:p>
        </w:tc>
        <w:tc>
          <w:tcPr>
            <w:tcW w:w="1134" w:type="dxa"/>
            <w:tcBorders>
              <w:top w:val="nil"/>
              <w:left w:val="single" w:sz="4" w:space="0" w:color="auto"/>
              <w:bottom w:val="single" w:sz="12"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12" w:space="0" w:color="auto"/>
              <w:left w:val="single" w:sz="12" w:space="0" w:color="auto"/>
              <w:bottom w:val="nil"/>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BB RPPS Renda Fixa Fluxo FIC</w:t>
            </w:r>
          </w:p>
        </w:tc>
        <w:tc>
          <w:tcPr>
            <w:tcW w:w="1701" w:type="dxa"/>
            <w:tcBorders>
              <w:top w:val="single" w:sz="12" w:space="0" w:color="auto"/>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IV</w:t>
            </w:r>
          </w:p>
        </w:tc>
        <w:tc>
          <w:tcPr>
            <w:tcW w:w="993" w:type="dxa"/>
            <w:tcBorders>
              <w:top w:val="single" w:sz="12" w:space="0" w:color="auto"/>
              <w:left w:val="nil"/>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3.397.511,22 </w:t>
            </w:r>
          </w:p>
        </w:tc>
        <w:tc>
          <w:tcPr>
            <w:tcW w:w="1134" w:type="dxa"/>
            <w:tcBorders>
              <w:top w:val="single" w:sz="12" w:space="0" w:color="auto"/>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single" w:sz="12" w:space="0" w:color="auto"/>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nil"/>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BB Previdenciário Renda Fixa Perfil</w:t>
            </w:r>
          </w:p>
        </w:tc>
        <w:tc>
          <w:tcPr>
            <w:tcW w:w="1701"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IV</w:t>
            </w:r>
          </w:p>
        </w:tc>
        <w:tc>
          <w:tcPr>
            <w:tcW w:w="993" w:type="dxa"/>
            <w:tcBorders>
              <w:top w:val="nil"/>
              <w:left w:val="single" w:sz="4" w:space="0" w:color="auto"/>
              <w:bottom w:val="nil"/>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2.911.583,12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nil"/>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FI Caixa Brasil Referenciado DI Longo Prazo</w:t>
            </w:r>
          </w:p>
        </w:tc>
        <w:tc>
          <w:tcPr>
            <w:tcW w:w="1701" w:type="dxa"/>
            <w:tcBorders>
              <w:top w:val="single" w:sz="4"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IV</w:t>
            </w:r>
          </w:p>
        </w:tc>
        <w:tc>
          <w:tcPr>
            <w:tcW w:w="993"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12.584.515,21 </w:t>
            </w:r>
          </w:p>
        </w:tc>
        <w:tc>
          <w:tcPr>
            <w:tcW w:w="113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98.944.518,48</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5,41%</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30,00%</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30,00%</w:t>
            </w:r>
          </w:p>
        </w:tc>
      </w:tr>
      <w:tr w:rsidR="00F15237" w:rsidRPr="008B6C9D" w:rsidTr="00DC00D2">
        <w:trPr>
          <w:trHeight w:hRule="exact" w:val="227"/>
        </w:trPr>
        <w:tc>
          <w:tcPr>
            <w:tcW w:w="2850" w:type="dxa"/>
            <w:tcBorders>
              <w:top w:val="single" w:sz="4" w:space="0" w:color="auto"/>
              <w:left w:val="single" w:sz="12" w:space="0" w:color="auto"/>
              <w:bottom w:val="nil"/>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BTG Pactual Master Cash FI Refe</w:t>
            </w:r>
            <w:r w:rsidR="00461BE6">
              <w:rPr>
                <w:rFonts w:ascii="Arial" w:hAnsi="Arial" w:cs="Arial"/>
                <w:sz w:val="11"/>
                <w:szCs w:val="11"/>
              </w:rPr>
              <w:t>r</w:t>
            </w:r>
            <w:r w:rsidRPr="008B6C9D">
              <w:rPr>
                <w:rFonts w:ascii="Arial" w:hAnsi="Arial" w:cs="Arial"/>
                <w:sz w:val="11"/>
                <w:szCs w:val="11"/>
              </w:rPr>
              <w:t>enciado DI</w:t>
            </w:r>
          </w:p>
        </w:tc>
        <w:tc>
          <w:tcPr>
            <w:tcW w:w="1701" w:type="dxa"/>
            <w:tcBorders>
              <w:top w:val="single" w:sz="4"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IV</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5.161.029,58 </w:t>
            </w:r>
          </w:p>
        </w:tc>
        <w:tc>
          <w:tcPr>
            <w:tcW w:w="113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12"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Hsbc FI Renda Fixa Regimes de Previdência Ativo</w:t>
            </w:r>
          </w:p>
        </w:tc>
        <w:tc>
          <w:tcPr>
            <w:tcW w:w="1701" w:type="dxa"/>
            <w:tcBorders>
              <w:top w:val="single" w:sz="4" w:space="0" w:color="auto"/>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IV</w:t>
            </w:r>
          </w:p>
        </w:tc>
        <w:tc>
          <w:tcPr>
            <w:tcW w:w="993" w:type="dxa"/>
            <w:tcBorders>
              <w:top w:val="nil"/>
              <w:left w:val="single" w:sz="4" w:space="0" w:color="auto"/>
              <w:bottom w:val="single" w:sz="12"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74.889.879,35 </w:t>
            </w:r>
          </w:p>
        </w:tc>
        <w:tc>
          <w:tcPr>
            <w:tcW w:w="1134" w:type="dxa"/>
            <w:tcBorders>
              <w:top w:val="nil"/>
              <w:left w:val="single" w:sz="4" w:space="0" w:color="auto"/>
              <w:bottom w:val="single" w:sz="12"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12" w:space="0" w:color="auto"/>
              <w:left w:val="single" w:sz="12" w:space="0" w:color="auto"/>
              <w:bottom w:val="single" w:sz="12"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FIDC Aberto CPP540 RPPS</w:t>
            </w:r>
          </w:p>
        </w:tc>
        <w:tc>
          <w:tcPr>
            <w:tcW w:w="1701" w:type="dxa"/>
            <w:tcBorders>
              <w:top w:val="single" w:sz="12" w:space="0" w:color="auto"/>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VI</w:t>
            </w:r>
          </w:p>
        </w:tc>
        <w:tc>
          <w:tcPr>
            <w:tcW w:w="993" w:type="dxa"/>
            <w:tcBorders>
              <w:top w:val="single" w:sz="12" w:space="0" w:color="auto"/>
              <w:left w:val="nil"/>
              <w:bottom w:val="single" w:sz="12"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8.121.712,66 </w:t>
            </w:r>
          </w:p>
        </w:tc>
        <w:tc>
          <w:tcPr>
            <w:tcW w:w="1134" w:type="dxa"/>
            <w:tcBorders>
              <w:top w:val="single" w:sz="12" w:space="0" w:color="auto"/>
              <w:left w:val="single" w:sz="4" w:space="0" w:color="auto"/>
              <w:bottom w:val="single" w:sz="12"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8.121.712,66 </w:t>
            </w:r>
          </w:p>
        </w:tc>
        <w:tc>
          <w:tcPr>
            <w:tcW w:w="754" w:type="dxa"/>
            <w:tcBorders>
              <w:top w:val="single" w:sz="12" w:space="0" w:color="auto"/>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0,44%</w:t>
            </w:r>
          </w:p>
        </w:tc>
        <w:tc>
          <w:tcPr>
            <w:tcW w:w="805" w:type="dxa"/>
            <w:tcBorders>
              <w:top w:val="single" w:sz="12" w:space="0" w:color="auto"/>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15,00%</w:t>
            </w:r>
          </w:p>
        </w:tc>
        <w:tc>
          <w:tcPr>
            <w:tcW w:w="709" w:type="dxa"/>
            <w:tcBorders>
              <w:top w:val="single" w:sz="12" w:space="0" w:color="auto"/>
              <w:left w:val="nil"/>
              <w:bottom w:val="single" w:sz="12" w:space="0" w:color="auto"/>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15,00%</w:t>
            </w:r>
          </w:p>
        </w:tc>
      </w:tr>
      <w:tr w:rsidR="00F15237" w:rsidRPr="008B6C9D" w:rsidTr="00DC00D2">
        <w:trPr>
          <w:trHeight w:hRule="exact" w:val="227"/>
        </w:trPr>
        <w:tc>
          <w:tcPr>
            <w:tcW w:w="2850" w:type="dxa"/>
            <w:tcBorders>
              <w:top w:val="single" w:sz="12" w:space="0" w:color="auto"/>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FIDC  Casan Saneamento</w:t>
            </w:r>
          </w:p>
        </w:tc>
        <w:tc>
          <w:tcPr>
            <w:tcW w:w="1701" w:type="dxa"/>
            <w:tcBorders>
              <w:top w:val="single" w:sz="12" w:space="0" w:color="auto"/>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VII, alínea "a"</w:t>
            </w:r>
          </w:p>
        </w:tc>
        <w:tc>
          <w:tcPr>
            <w:tcW w:w="993" w:type="dxa"/>
            <w:tcBorders>
              <w:top w:val="single" w:sz="12" w:space="0" w:color="auto"/>
              <w:left w:val="nil"/>
              <w:bottom w:val="single" w:sz="4"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20.157.313,22 </w:t>
            </w:r>
          </w:p>
        </w:tc>
        <w:tc>
          <w:tcPr>
            <w:tcW w:w="1134"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22.497.120,10 </w:t>
            </w:r>
          </w:p>
        </w:tc>
        <w:tc>
          <w:tcPr>
            <w:tcW w:w="754"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1,23%</w:t>
            </w:r>
          </w:p>
        </w:tc>
        <w:tc>
          <w:tcPr>
            <w:tcW w:w="805"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5,00%</w:t>
            </w:r>
          </w:p>
        </w:tc>
        <w:tc>
          <w:tcPr>
            <w:tcW w:w="709" w:type="dxa"/>
            <w:tcBorders>
              <w:top w:val="single" w:sz="12" w:space="0" w:color="auto"/>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5,00%</w:t>
            </w:r>
          </w:p>
        </w:tc>
      </w:tr>
      <w:tr w:rsidR="00F15237" w:rsidRPr="008B6C9D" w:rsidTr="00DC00D2">
        <w:trPr>
          <w:trHeight w:hRule="exact" w:val="227"/>
        </w:trPr>
        <w:tc>
          <w:tcPr>
            <w:tcW w:w="2850" w:type="dxa"/>
            <w:tcBorders>
              <w:top w:val="nil"/>
              <w:left w:val="single" w:sz="12" w:space="0" w:color="auto"/>
              <w:bottom w:val="single" w:sz="12" w:space="0" w:color="auto"/>
              <w:right w:val="single" w:sz="4" w:space="0" w:color="auto"/>
            </w:tcBorders>
            <w:shd w:val="clear" w:color="000000" w:fill="FFFFCC"/>
            <w:noWrap/>
            <w:vAlign w:val="center"/>
            <w:hideMark/>
          </w:tcPr>
          <w:p w:rsidR="00F15237" w:rsidRPr="008B6C9D" w:rsidRDefault="00F15237" w:rsidP="00F15237">
            <w:pPr>
              <w:rPr>
                <w:rFonts w:ascii="Arial" w:hAnsi="Arial" w:cs="Arial"/>
                <w:sz w:val="11"/>
                <w:szCs w:val="11"/>
              </w:rPr>
            </w:pPr>
            <w:r w:rsidRPr="008B6C9D">
              <w:rPr>
                <w:rFonts w:ascii="Arial" w:hAnsi="Arial" w:cs="Arial"/>
                <w:sz w:val="11"/>
                <w:szCs w:val="11"/>
              </w:rPr>
              <w:t>FIDC da C</w:t>
            </w:r>
            <w:r>
              <w:rPr>
                <w:rFonts w:ascii="Arial" w:hAnsi="Arial" w:cs="Arial"/>
                <w:sz w:val="11"/>
                <w:szCs w:val="11"/>
              </w:rPr>
              <w:t>i</w:t>
            </w:r>
            <w:r w:rsidRPr="008B6C9D">
              <w:rPr>
                <w:rFonts w:ascii="Arial" w:hAnsi="Arial" w:cs="Arial"/>
                <w:sz w:val="11"/>
                <w:szCs w:val="11"/>
              </w:rPr>
              <w:t>a</w:t>
            </w:r>
            <w:r>
              <w:rPr>
                <w:rFonts w:ascii="Arial" w:hAnsi="Arial" w:cs="Arial"/>
                <w:sz w:val="11"/>
                <w:szCs w:val="11"/>
              </w:rPr>
              <w:t>.</w:t>
            </w:r>
            <w:r w:rsidRPr="008B6C9D">
              <w:rPr>
                <w:rFonts w:ascii="Arial" w:hAnsi="Arial" w:cs="Arial"/>
                <w:sz w:val="11"/>
                <w:szCs w:val="11"/>
              </w:rPr>
              <w:t xml:space="preserve"> Estadual de Águas e Esgotos - CEDAE</w:t>
            </w:r>
          </w:p>
        </w:tc>
        <w:tc>
          <w:tcPr>
            <w:tcW w:w="1701"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VII, alínea "a"</w:t>
            </w:r>
          </w:p>
        </w:tc>
        <w:tc>
          <w:tcPr>
            <w:tcW w:w="993" w:type="dxa"/>
            <w:tcBorders>
              <w:top w:val="nil"/>
              <w:left w:val="single" w:sz="4" w:space="0" w:color="auto"/>
              <w:bottom w:val="single" w:sz="12"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2.339.806,88 </w:t>
            </w:r>
          </w:p>
        </w:tc>
        <w:tc>
          <w:tcPr>
            <w:tcW w:w="1134" w:type="dxa"/>
            <w:tcBorders>
              <w:top w:val="nil"/>
              <w:left w:val="single" w:sz="4" w:space="0" w:color="auto"/>
              <w:bottom w:val="single" w:sz="12"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12" w:space="0" w:color="auto"/>
              <w:left w:val="single" w:sz="12" w:space="0" w:color="auto"/>
              <w:bottom w:val="nil"/>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FI Caixa Brasil IPCA XI Renda Fixa Crédito Privado</w:t>
            </w:r>
          </w:p>
        </w:tc>
        <w:tc>
          <w:tcPr>
            <w:tcW w:w="1701"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VII, alínea "b"</w:t>
            </w:r>
          </w:p>
        </w:tc>
        <w:tc>
          <w:tcPr>
            <w:tcW w:w="993" w:type="dxa"/>
            <w:tcBorders>
              <w:top w:val="single" w:sz="12" w:space="0" w:color="auto"/>
              <w:left w:val="single" w:sz="4" w:space="0" w:color="auto"/>
              <w:bottom w:val="nil"/>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19.568.450,00 </w:t>
            </w:r>
          </w:p>
        </w:tc>
        <w:tc>
          <w:tcPr>
            <w:tcW w:w="1134" w:type="dxa"/>
            <w:tcBorders>
              <w:top w:val="single" w:sz="12" w:space="0" w:color="auto"/>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single" w:sz="12" w:space="0" w:color="auto"/>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single" w:sz="12" w:space="0" w:color="auto"/>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FI Caixa Brasil IPCA XII Renda Fixa Crédito Privado</w:t>
            </w:r>
          </w:p>
        </w:tc>
        <w:tc>
          <w:tcPr>
            <w:tcW w:w="1701" w:type="dxa"/>
            <w:tcBorders>
              <w:top w:val="single" w:sz="4" w:space="0" w:color="auto"/>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VII, alínea "b"</w:t>
            </w:r>
          </w:p>
        </w:tc>
        <w:tc>
          <w:tcPr>
            <w:tcW w:w="993" w:type="dxa"/>
            <w:tcBorders>
              <w:top w:val="single" w:sz="4" w:space="0" w:color="auto"/>
              <w:left w:val="single" w:sz="4" w:space="0" w:color="auto"/>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19.711.187,50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84.350.426,40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4,61%</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5,00%</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5,00%</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FI Caixa Brasil IPCA XIII Renda Fixa Crédito Privado</w:t>
            </w:r>
          </w:p>
        </w:tc>
        <w:tc>
          <w:tcPr>
            <w:tcW w:w="1701" w:type="dxa"/>
            <w:tcBorders>
              <w:top w:val="nil"/>
              <w:left w:val="nil"/>
              <w:bottom w:val="single" w:sz="4"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VII, alínea "b"</w:t>
            </w:r>
          </w:p>
        </w:tc>
        <w:tc>
          <w:tcPr>
            <w:tcW w:w="993" w:type="dxa"/>
            <w:tcBorders>
              <w:top w:val="nil"/>
              <w:left w:val="single" w:sz="4" w:space="0" w:color="auto"/>
              <w:bottom w:val="single" w:sz="4"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19.178.737,50 </w:t>
            </w:r>
          </w:p>
        </w:tc>
        <w:tc>
          <w:tcPr>
            <w:tcW w:w="1134" w:type="dxa"/>
            <w:tcBorders>
              <w:top w:val="nil"/>
              <w:left w:val="single" w:sz="4" w:space="0" w:color="auto"/>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nil"/>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BB RPPS Renda Fixa Crédito Privado IPCA II</w:t>
            </w:r>
          </w:p>
        </w:tc>
        <w:tc>
          <w:tcPr>
            <w:tcW w:w="1701" w:type="dxa"/>
            <w:tcBorders>
              <w:top w:val="nil"/>
              <w:left w:val="nil"/>
              <w:bottom w:val="nil"/>
              <w:right w:val="nil"/>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VII, alínea "b"</w:t>
            </w:r>
          </w:p>
        </w:tc>
        <w:tc>
          <w:tcPr>
            <w:tcW w:w="993" w:type="dxa"/>
            <w:tcBorders>
              <w:top w:val="nil"/>
              <w:left w:val="single" w:sz="4" w:space="0" w:color="auto"/>
              <w:bottom w:val="single" w:sz="4"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17.342.623,66 </w:t>
            </w:r>
          </w:p>
        </w:tc>
        <w:tc>
          <w:tcPr>
            <w:tcW w:w="113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12" w:space="0" w:color="auto"/>
              <w:right w:val="single" w:sz="4" w:space="0" w:color="auto"/>
            </w:tcBorders>
            <w:shd w:val="clear" w:color="000000" w:fill="FF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BB RPPS Renda Fixa Crédito Privado IPCA III</w:t>
            </w:r>
          </w:p>
        </w:tc>
        <w:tc>
          <w:tcPr>
            <w:tcW w:w="1701" w:type="dxa"/>
            <w:tcBorders>
              <w:top w:val="single" w:sz="4" w:space="0" w:color="auto"/>
              <w:left w:val="nil"/>
              <w:bottom w:val="single" w:sz="12" w:space="0" w:color="auto"/>
              <w:right w:val="nil"/>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7º, Inciso VII, alínea "b"</w:t>
            </w:r>
          </w:p>
        </w:tc>
        <w:tc>
          <w:tcPr>
            <w:tcW w:w="993" w:type="dxa"/>
            <w:tcBorders>
              <w:top w:val="nil"/>
              <w:left w:val="single" w:sz="4" w:space="0" w:color="auto"/>
              <w:bottom w:val="single" w:sz="12" w:space="0" w:color="auto"/>
              <w:right w:val="nil"/>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8.549.427,74 </w:t>
            </w:r>
          </w:p>
        </w:tc>
        <w:tc>
          <w:tcPr>
            <w:tcW w:w="1134" w:type="dxa"/>
            <w:tcBorders>
              <w:top w:val="nil"/>
              <w:left w:val="single" w:sz="4" w:space="0" w:color="auto"/>
              <w:bottom w:val="single" w:sz="12" w:space="0" w:color="auto"/>
              <w:right w:val="single" w:sz="4" w:space="0" w:color="auto"/>
            </w:tcBorders>
            <w:shd w:val="clear" w:color="000000" w:fill="FF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single" w:sz="12" w:space="0" w:color="auto"/>
              <w:right w:val="single" w:sz="4"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FF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12" w:space="0" w:color="auto"/>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Brasil Ações Ibovespa Indexado FIC FI</w:t>
            </w:r>
          </w:p>
        </w:tc>
        <w:tc>
          <w:tcPr>
            <w:tcW w:w="1701" w:type="dxa"/>
            <w:tcBorders>
              <w:top w:val="single" w:sz="12" w:space="0" w:color="auto"/>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w:t>
            </w:r>
          </w:p>
        </w:tc>
        <w:tc>
          <w:tcPr>
            <w:tcW w:w="993" w:type="dxa"/>
            <w:tcBorders>
              <w:top w:val="single" w:sz="12" w:space="0" w:color="auto"/>
              <w:left w:val="nil"/>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18.790.392,97 </w:t>
            </w:r>
          </w:p>
        </w:tc>
        <w:tc>
          <w:tcPr>
            <w:tcW w:w="1134" w:type="dxa"/>
            <w:tcBorders>
              <w:top w:val="single" w:sz="12" w:space="0" w:color="auto"/>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single" w:sz="12" w:space="0" w:color="auto"/>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single" w:sz="12" w:space="0" w:color="auto"/>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single" w:sz="12" w:space="0" w:color="auto"/>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Brasil Ações IBrX Indexado FIC FI</w:t>
            </w:r>
          </w:p>
        </w:tc>
        <w:tc>
          <w:tcPr>
            <w:tcW w:w="1701" w:type="dxa"/>
            <w:tcBorders>
              <w:top w:val="nil"/>
              <w:left w:val="nil"/>
              <w:bottom w:val="single" w:sz="4" w:space="0" w:color="auto"/>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8.279.326,97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nil"/>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BB Ações Consumo FIC FI</w:t>
            </w:r>
          </w:p>
        </w:tc>
        <w:tc>
          <w:tcPr>
            <w:tcW w:w="1701" w:type="dxa"/>
            <w:tcBorders>
              <w:top w:val="nil"/>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4.359.718,27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nil"/>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BB Ações Cielo FI</w:t>
            </w:r>
          </w:p>
        </w:tc>
        <w:tc>
          <w:tcPr>
            <w:tcW w:w="1701" w:type="dxa"/>
            <w:tcBorders>
              <w:top w:val="nil"/>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11.324.157,24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nil"/>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BB Ações BB Seguridade FI em Ações</w:t>
            </w:r>
          </w:p>
        </w:tc>
        <w:tc>
          <w:tcPr>
            <w:tcW w:w="1701" w:type="dxa"/>
            <w:tcBorders>
              <w:top w:val="nil"/>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15.922.638,69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Caixa FI em Ações Brasil IBX-50</w:t>
            </w:r>
          </w:p>
        </w:tc>
        <w:tc>
          <w:tcPr>
            <w:tcW w:w="1701" w:type="dxa"/>
            <w:tcBorders>
              <w:top w:val="nil"/>
              <w:left w:val="nil"/>
              <w:bottom w:val="single" w:sz="4" w:space="0" w:color="auto"/>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15.866.140,84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461BE6">
        <w:trPr>
          <w:trHeight w:hRule="exact" w:val="227"/>
        </w:trPr>
        <w:tc>
          <w:tcPr>
            <w:tcW w:w="2850" w:type="dxa"/>
            <w:tcBorders>
              <w:top w:val="nil"/>
              <w:left w:val="single" w:sz="12" w:space="0" w:color="auto"/>
              <w:bottom w:val="single" w:sz="4" w:space="0" w:color="auto"/>
              <w:right w:val="single" w:sz="4" w:space="0" w:color="auto"/>
            </w:tcBorders>
            <w:shd w:val="clear" w:color="000000" w:fill="CCFFCC"/>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Itaú RPI Ações Ibovespa Index FIC FI em Ações</w:t>
            </w:r>
          </w:p>
        </w:tc>
        <w:tc>
          <w:tcPr>
            <w:tcW w:w="1701" w:type="dxa"/>
            <w:tcBorders>
              <w:top w:val="nil"/>
              <w:left w:val="nil"/>
              <w:bottom w:val="single" w:sz="4" w:space="0" w:color="auto"/>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38.599.092,34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135.369.529,84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7,40%</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DC00D2" w:rsidP="008B6C9D">
            <w:pPr>
              <w:jc w:val="center"/>
              <w:rPr>
                <w:rFonts w:ascii="Arial" w:hAnsi="Arial" w:cs="Arial"/>
                <w:sz w:val="12"/>
                <w:szCs w:val="12"/>
              </w:rPr>
            </w:pPr>
            <w:r>
              <w:rPr>
                <w:rFonts w:ascii="Arial" w:hAnsi="Arial" w:cs="Arial"/>
                <w:sz w:val="12"/>
                <w:szCs w:val="12"/>
              </w:rPr>
              <w:t>3</w:t>
            </w:r>
            <w:r w:rsidR="00F15237" w:rsidRPr="008B6C9D">
              <w:rPr>
                <w:rFonts w:ascii="Arial" w:hAnsi="Arial" w:cs="Arial"/>
                <w:sz w:val="12"/>
                <w:szCs w:val="12"/>
              </w:rPr>
              <w:t>0,00%</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DC00D2" w:rsidP="008B6C9D">
            <w:pPr>
              <w:jc w:val="center"/>
              <w:rPr>
                <w:rFonts w:ascii="Arial" w:hAnsi="Arial" w:cs="Arial"/>
                <w:sz w:val="12"/>
                <w:szCs w:val="12"/>
              </w:rPr>
            </w:pPr>
            <w:r>
              <w:rPr>
                <w:rFonts w:ascii="Arial" w:hAnsi="Arial" w:cs="Arial"/>
                <w:sz w:val="12"/>
                <w:szCs w:val="12"/>
              </w:rPr>
              <w:t>2</w:t>
            </w:r>
            <w:r w:rsidR="00F15237" w:rsidRPr="008B6C9D">
              <w:rPr>
                <w:rFonts w:ascii="Arial" w:hAnsi="Arial" w:cs="Arial"/>
                <w:sz w:val="12"/>
                <w:szCs w:val="12"/>
              </w:rPr>
              <w:t>0,00%</w:t>
            </w:r>
          </w:p>
        </w:tc>
      </w:tr>
      <w:tr w:rsidR="00F15237" w:rsidRPr="008B6C9D" w:rsidTr="00461BE6">
        <w:trPr>
          <w:trHeight w:hRule="exact" w:val="227"/>
        </w:trPr>
        <w:tc>
          <w:tcPr>
            <w:tcW w:w="2850" w:type="dxa"/>
            <w:tcBorders>
              <w:top w:val="single" w:sz="4" w:space="0" w:color="auto"/>
              <w:left w:val="single" w:sz="12" w:space="0" w:color="auto"/>
              <w:bottom w:val="nil"/>
              <w:right w:val="single" w:sz="4" w:space="0" w:color="auto"/>
            </w:tcBorders>
            <w:shd w:val="clear" w:color="000000" w:fill="CCFFCC"/>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Itaú Ações Consumo FI</w:t>
            </w:r>
          </w:p>
        </w:tc>
        <w:tc>
          <w:tcPr>
            <w:tcW w:w="1701" w:type="dxa"/>
            <w:tcBorders>
              <w:top w:val="nil"/>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4.400.008,45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AC5D48">
        <w:trPr>
          <w:trHeight w:hRule="exact" w:val="227"/>
        </w:trPr>
        <w:tc>
          <w:tcPr>
            <w:tcW w:w="2850" w:type="dxa"/>
            <w:tcBorders>
              <w:top w:val="single" w:sz="4" w:space="0" w:color="auto"/>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 xml:space="preserve">Hsbc FI em Ações Ibovespa </w:t>
            </w:r>
          </w:p>
        </w:tc>
        <w:tc>
          <w:tcPr>
            <w:tcW w:w="1701" w:type="dxa"/>
            <w:tcBorders>
              <w:top w:val="single" w:sz="4" w:space="0" w:color="auto"/>
              <w:left w:val="nil"/>
              <w:bottom w:val="single" w:sz="4" w:space="0" w:color="auto"/>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13.998.653,68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AC5D48">
        <w:trPr>
          <w:trHeight w:hRule="exact" w:val="227"/>
        </w:trPr>
        <w:tc>
          <w:tcPr>
            <w:tcW w:w="2850" w:type="dxa"/>
            <w:tcBorders>
              <w:top w:val="single" w:sz="4" w:space="0" w:color="auto"/>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lang w:val="en-US"/>
              </w:rPr>
            </w:pPr>
            <w:r w:rsidRPr="008B6C9D">
              <w:rPr>
                <w:rFonts w:ascii="Arial" w:hAnsi="Arial" w:cs="Arial"/>
                <w:sz w:val="11"/>
                <w:szCs w:val="11"/>
                <w:lang w:val="en-US"/>
              </w:rPr>
              <w:t>Hsbc FI AçõesIbovespa Valuation</w:t>
            </w:r>
          </w:p>
        </w:tc>
        <w:tc>
          <w:tcPr>
            <w:tcW w:w="1701" w:type="dxa"/>
            <w:tcBorders>
              <w:top w:val="single" w:sz="4" w:space="0" w:color="auto"/>
              <w:left w:val="nil"/>
              <w:bottom w:val="single" w:sz="4" w:space="0" w:color="auto"/>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3.481.869,54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12"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GWI Classic Fundo de Investimento em Ações</w:t>
            </w:r>
          </w:p>
        </w:tc>
        <w:tc>
          <w:tcPr>
            <w:tcW w:w="1701" w:type="dxa"/>
            <w:tcBorders>
              <w:top w:val="nil"/>
              <w:left w:val="nil"/>
              <w:bottom w:val="single" w:sz="12"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w:t>
            </w:r>
          </w:p>
        </w:tc>
        <w:tc>
          <w:tcPr>
            <w:tcW w:w="993" w:type="dxa"/>
            <w:tcBorders>
              <w:top w:val="single" w:sz="4" w:space="0" w:color="auto"/>
              <w:left w:val="single" w:sz="4" w:space="0" w:color="auto"/>
              <w:bottom w:val="single" w:sz="12"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347.530,85 </w:t>
            </w:r>
          </w:p>
        </w:tc>
        <w:tc>
          <w:tcPr>
            <w:tcW w:w="1134" w:type="dxa"/>
            <w:tcBorders>
              <w:top w:val="nil"/>
              <w:left w:val="nil"/>
              <w:bottom w:val="single" w:sz="12"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single" w:sz="12"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single" w:sz="12"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bookmarkStart w:id="17" w:name="_GoBack"/>
        <w:bookmarkEnd w:id="17"/>
      </w:tr>
      <w:tr w:rsidR="00F15237" w:rsidRPr="008B6C9D" w:rsidTr="00DC00D2">
        <w:trPr>
          <w:trHeight w:hRule="exact" w:val="227"/>
        </w:trPr>
        <w:tc>
          <w:tcPr>
            <w:tcW w:w="2850" w:type="dxa"/>
            <w:tcBorders>
              <w:top w:val="single" w:sz="12" w:space="0" w:color="auto"/>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lastRenderedPageBreak/>
              <w:t>Caixa FIC Ações Valor Dividendos RPPS</w:t>
            </w:r>
          </w:p>
        </w:tc>
        <w:tc>
          <w:tcPr>
            <w:tcW w:w="1701" w:type="dxa"/>
            <w:tcBorders>
              <w:top w:val="single" w:sz="12" w:space="0" w:color="auto"/>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single" w:sz="12" w:space="0" w:color="auto"/>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10.872.209,79 </w:t>
            </w:r>
          </w:p>
        </w:tc>
        <w:tc>
          <w:tcPr>
            <w:tcW w:w="1134" w:type="dxa"/>
            <w:tcBorders>
              <w:top w:val="single" w:sz="12" w:space="0" w:color="auto"/>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single" w:sz="12" w:space="0" w:color="auto"/>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single" w:sz="12" w:space="0" w:color="auto"/>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single" w:sz="12" w:space="0" w:color="auto"/>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Caixa FI em Ações Caixa SmallCaps Ativo</w:t>
            </w:r>
          </w:p>
        </w:tc>
        <w:tc>
          <w:tcPr>
            <w:tcW w:w="1701" w:type="dxa"/>
            <w:tcBorders>
              <w:top w:val="nil"/>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848.567,73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Caixa FI Ações Institucional BRD Nivel I</w:t>
            </w:r>
          </w:p>
        </w:tc>
        <w:tc>
          <w:tcPr>
            <w:tcW w:w="1701" w:type="dxa"/>
            <w:tcBorders>
              <w:top w:val="nil"/>
              <w:left w:val="nil"/>
              <w:bottom w:val="single" w:sz="4" w:space="0" w:color="auto"/>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3.280.949,55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Bradesco FI em Ações Infra-Estrutura</w:t>
            </w:r>
          </w:p>
        </w:tc>
        <w:tc>
          <w:tcPr>
            <w:tcW w:w="1701" w:type="dxa"/>
            <w:tcBorders>
              <w:top w:val="nil"/>
              <w:left w:val="nil"/>
              <w:bottom w:val="single" w:sz="4" w:space="0" w:color="auto"/>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14.888.995,84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Bradesco FI em Ações Dividendos</w:t>
            </w:r>
          </w:p>
        </w:tc>
        <w:tc>
          <w:tcPr>
            <w:tcW w:w="1701" w:type="dxa"/>
            <w:tcBorders>
              <w:top w:val="single" w:sz="4" w:space="0" w:color="auto"/>
              <w:left w:val="nil"/>
              <w:bottom w:val="single" w:sz="4" w:space="0" w:color="auto"/>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2.203.125,52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nil"/>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Bradesco FI em Ações SmallCap Plus</w:t>
            </w:r>
          </w:p>
        </w:tc>
        <w:tc>
          <w:tcPr>
            <w:tcW w:w="1701" w:type="dxa"/>
            <w:tcBorders>
              <w:top w:val="single" w:sz="4" w:space="0" w:color="auto"/>
              <w:left w:val="nil"/>
              <w:bottom w:val="nil"/>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single" w:sz="4" w:space="0" w:color="auto"/>
              <w:left w:val="single" w:sz="4" w:space="0" w:color="auto"/>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995.060,69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nil"/>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Hsbc FI de Ações SmallCaps</w:t>
            </w:r>
          </w:p>
        </w:tc>
        <w:tc>
          <w:tcPr>
            <w:tcW w:w="1701" w:type="dxa"/>
            <w:tcBorders>
              <w:top w:val="single" w:sz="4" w:space="0" w:color="auto"/>
              <w:left w:val="nil"/>
              <w:bottom w:val="nil"/>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single" w:sz="4" w:space="0" w:color="auto"/>
              <w:left w:val="single" w:sz="4" w:space="0" w:color="auto"/>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828.805,04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Santander FIC FI Dividendos VIP Ações</w:t>
            </w:r>
          </w:p>
        </w:tc>
        <w:tc>
          <w:tcPr>
            <w:tcW w:w="1701" w:type="dxa"/>
            <w:tcBorders>
              <w:top w:val="single" w:sz="4" w:space="0" w:color="auto"/>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1.494.034,70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75.538.465,32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4,13%</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15,00%</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15,00%</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BNP Paribas Grand Prix Fundo de Investimento Ações</w:t>
            </w:r>
          </w:p>
        </w:tc>
        <w:tc>
          <w:tcPr>
            <w:tcW w:w="1701" w:type="dxa"/>
            <w:tcBorders>
              <w:top w:val="nil"/>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2.190.534,16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BTG Pactual Dividendos FI de Ações</w:t>
            </w:r>
          </w:p>
        </w:tc>
        <w:tc>
          <w:tcPr>
            <w:tcW w:w="1701" w:type="dxa"/>
            <w:tcBorders>
              <w:top w:val="nil"/>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nil"/>
              <w:left w:val="nil"/>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25.843.646,32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Geração Futuro Dividendos FI em Ações</w:t>
            </w:r>
          </w:p>
        </w:tc>
        <w:tc>
          <w:tcPr>
            <w:tcW w:w="1701" w:type="dxa"/>
            <w:tcBorders>
              <w:top w:val="nil"/>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nil"/>
              <w:left w:val="nil"/>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2.846.816,75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nil"/>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Queluz Valor Fundo de Investimento em Ações</w:t>
            </w:r>
          </w:p>
        </w:tc>
        <w:tc>
          <w:tcPr>
            <w:tcW w:w="1701" w:type="dxa"/>
            <w:tcBorders>
              <w:top w:val="nil"/>
              <w:left w:val="nil"/>
              <w:bottom w:val="single" w:sz="4" w:space="0" w:color="auto"/>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nil"/>
              <w:left w:val="single" w:sz="4" w:space="0" w:color="auto"/>
              <w:bottom w:val="single" w:sz="4"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1.771.666,66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nil"/>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lang w:val="en-US"/>
              </w:rPr>
            </w:pPr>
            <w:r w:rsidRPr="008B6C9D">
              <w:rPr>
                <w:rFonts w:ascii="Arial" w:hAnsi="Arial" w:cs="Arial"/>
                <w:sz w:val="11"/>
                <w:szCs w:val="11"/>
                <w:lang w:val="en-US"/>
              </w:rPr>
              <w:t>Quest Small Caps Fic FIA</w:t>
            </w:r>
          </w:p>
        </w:tc>
        <w:tc>
          <w:tcPr>
            <w:tcW w:w="1701"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nil"/>
              <w:left w:val="single" w:sz="4" w:space="0" w:color="auto"/>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3.966.577,88 </w:t>
            </w:r>
          </w:p>
        </w:tc>
        <w:tc>
          <w:tcPr>
            <w:tcW w:w="113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12"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BTG Pactual Absoluto Institucional FIQ de FI de Ações</w:t>
            </w:r>
          </w:p>
        </w:tc>
        <w:tc>
          <w:tcPr>
            <w:tcW w:w="1701" w:type="dxa"/>
            <w:tcBorders>
              <w:top w:val="single" w:sz="4" w:space="0" w:color="auto"/>
              <w:left w:val="nil"/>
              <w:bottom w:val="single" w:sz="12"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III</w:t>
            </w:r>
          </w:p>
        </w:tc>
        <w:tc>
          <w:tcPr>
            <w:tcW w:w="993" w:type="dxa"/>
            <w:tcBorders>
              <w:top w:val="single" w:sz="4" w:space="0" w:color="auto"/>
              <w:left w:val="single" w:sz="4" w:space="0" w:color="auto"/>
              <w:bottom w:val="single" w:sz="12"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3.507.474,69 </w:t>
            </w:r>
          </w:p>
        </w:tc>
        <w:tc>
          <w:tcPr>
            <w:tcW w:w="1134" w:type="dxa"/>
            <w:tcBorders>
              <w:top w:val="nil"/>
              <w:left w:val="nil"/>
              <w:bottom w:val="single" w:sz="12"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single" w:sz="12"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single" w:sz="12"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12" w:space="0" w:color="auto"/>
              <w:left w:val="single" w:sz="12" w:space="0" w:color="auto"/>
              <w:bottom w:val="single" w:sz="4" w:space="0" w:color="auto"/>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Pátria SpecialOpportunities I FIQ FI</w:t>
            </w:r>
          </w:p>
        </w:tc>
        <w:tc>
          <w:tcPr>
            <w:tcW w:w="1701" w:type="dxa"/>
            <w:tcBorders>
              <w:top w:val="single" w:sz="12" w:space="0" w:color="auto"/>
              <w:left w:val="nil"/>
              <w:bottom w:val="single" w:sz="4"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V</w:t>
            </w:r>
          </w:p>
        </w:tc>
        <w:tc>
          <w:tcPr>
            <w:tcW w:w="993" w:type="dxa"/>
            <w:tcBorders>
              <w:top w:val="single" w:sz="12" w:space="0" w:color="auto"/>
              <w:left w:val="single" w:sz="4" w:space="0" w:color="auto"/>
              <w:bottom w:val="single" w:sz="4" w:space="0" w:color="auto"/>
              <w:right w:val="nil"/>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3.723.265,82 </w:t>
            </w:r>
          </w:p>
        </w:tc>
        <w:tc>
          <w:tcPr>
            <w:tcW w:w="1134" w:type="dxa"/>
            <w:tcBorders>
              <w:top w:val="single" w:sz="12" w:space="0" w:color="auto"/>
              <w:left w:val="single" w:sz="8" w:space="0" w:color="auto"/>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47.392.925,91 </w:t>
            </w:r>
          </w:p>
        </w:tc>
        <w:tc>
          <w:tcPr>
            <w:tcW w:w="754" w:type="dxa"/>
            <w:tcBorders>
              <w:top w:val="single" w:sz="12" w:space="0" w:color="auto"/>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2,59%</w:t>
            </w:r>
          </w:p>
        </w:tc>
        <w:tc>
          <w:tcPr>
            <w:tcW w:w="805" w:type="dxa"/>
            <w:tcBorders>
              <w:top w:val="single" w:sz="12" w:space="0" w:color="auto"/>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5,00%</w:t>
            </w:r>
          </w:p>
        </w:tc>
        <w:tc>
          <w:tcPr>
            <w:tcW w:w="709" w:type="dxa"/>
            <w:tcBorders>
              <w:top w:val="single" w:sz="12" w:space="0" w:color="auto"/>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5,00%</w:t>
            </w:r>
          </w:p>
        </w:tc>
      </w:tr>
      <w:tr w:rsidR="00F15237" w:rsidRPr="008B6C9D" w:rsidTr="00DC00D2">
        <w:trPr>
          <w:trHeight w:hRule="exact" w:val="227"/>
        </w:trPr>
        <w:tc>
          <w:tcPr>
            <w:tcW w:w="2850" w:type="dxa"/>
            <w:tcBorders>
              <w:top w:val="nil"/>
              <w:left w:val="single" w:sz="12" w:space="0" w:color="auto"/>
              <w:bottom w:val="nil"/>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lang w:val="en-US"/>
              </w:rPr>
            </w:pPr>
            <w:r w:rsidRPr="008B6C9D">
              <w:rPr>
                <w:rFonts w:ascii="Arial" w:hAnsi="Arial" w:cs="Arial"/>
                <w:sz w:val="11"/>
                <w:szCs w:val="11"/>
                <w:lang w:val="en-US"/>
              </w:rPr>
              <w:t>FIC FIP Kinea Private Equity II</w:t>
            </w:r>
          </w:p>
        </w:tc>
        <w:tc>
          <w:tcPr>
            <w:tcW w:w="1701" w:type="dxa"/>
            <w:tcBorders>
              <w:top w:val="nil"/>
              <w:left w:val="nil"/>
              <w:bottom w:val="nil"/>
              <w:right w:val="nil"/>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V</w:t>
            </w:r>
          </w:p>
        </w:tc>
        <w:tc>
          <w:tcPr>
            <w:tcW w:w="993" w:type="dxa"/>
            <w:tcBorders>
              <w:top w:val="nil"/>
              <w:left w:val="single" w:sz="4" w:space="0" w:color="auto"/>
              <w:bottom w:val="nil"/>
              <w:right w:val="nil"/>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38.599.092,34 </w:t>
            </w:r>
          </w:p>
        </w:tc>
        <w:tc>
          <w:tcPr>
            <w:tcW w:w="1134" w:type="dxa"/>
            <w:tcBorders>
              <w:top w:val="nil"/>
              <w:left w:val="single" w:sz="8" w:space="0" w:color="auto"/>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nil"/>
              <w:right w:val="single" w:sz="4" w:space="0" w:color="auto"/>
            </w:tcBorders>
            <w:shd w:val="clear" w:color="000000" w:fill="CCFFCC"/>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Terras Brasil - FIP</w:t>
            </w:r>
          </w:p>
        </w:tc>
        <w:tc>
          <w:tcPr>
            <w:tcW w:w="1701" w:type="dxa"/>
            <w:tcBorders>
              <w:top w:val="single" w:sz="4" w:space="0" w:color="auto"/>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V</w:t>
            </w:r>
          </w:p>
        </w:tc>
        <w:tc>
          <w:tcPr>
            <w:tcW w:w="993" w:type="dxa"/>
            <w:tcBorders>
              <w:top w:val="single" w:sz="4" w:space="0" w:color="auto"/>
              <w:left w:val="nil"/>
              <w:bottom w:val="nil"/>
              <w:right w:val="nil"/>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4.986.388,37 </w:t>
            </w:r>
          </w:p>
        </w:tc>
        <w:tc>
          <w:tcPr>
            <w:tcW w:w="1134" w:type="dxa"/>
            <w:tcBorders>
              <w:top w:val="nil"/>
              <w:left w:val="single" w:sz="8" w:space="0" w:color="auto"/>
              <w:bottom w:val="nil"/>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12" w:space="0" w:color="auto"/>
              <w:right w:val="single" w:sz="4" w:space="0" w:color="auto"/>
            </w:tcBorders>
            <w:shd w:val="clear" w:color="000000" w:fill="CCFFCC"/>
            <w:noWrap/>
            <w:vAlign w:val="center"/>
            <w:hideMark/>
          </w:tcPr>
          <w:p w:rsidR="00F15237" w:rsidRPr="008B6C9D" w:rsidRDefault="00F15237" w:rsidP="00461BE6">
            <w:pPr>
              <w:rPr>
                <w:rFonts w:ascii="Arial" w:hAnsi="Arial" w:cs="Arial"/>
                <w:sz w:val="11"/>
                <w:szCs w:val="11"/>
              </w:rPr>
            </w:pPr>
            <w:r w:rsidRPr="008B6C9D">
              <w:rPr>
                <w:rFonts w:ascii="Arial" w:hAnsi="Arial" w:cs="Arial"/>
                <w:sz w:val="11"/>
                <w:szCs w:val="11"/>
              </w:rPr>
              <w:t>FIP Caixa Integração e Log</w:t>
            </w:r>
            <w:r w:rsidR="00461BE6">
              <w:rPr>
                <w:rFonts w:ascii="Arial" w:hAnsi="Arial" w:cs="Arial"/>
                <w:sz w:val="11"/>
                <w:szCs w:val="11"/>
              </w:rPr>
              <w:t>í</w:t>
            </w:r>
            <w:r w:rsidRPr="008B6C9D">
              <w:rPr>
                <w:rFonts w:ascii="Arial" w:hAnsi="Arial" w:cs="Arial"/>
                <w:sz w:val="11"/>
                <w:szCs w:val="11"/>
              </w:rPr>
              <w:t>stica</w:t>
            </w:r>
          </w:p>
        </w:tc>
        <w:tc>
          <w:tcPr>
            <w:tcW w:w="1701" w:type="dxa"/>
            <w:tcBorders>
              <w:top w:val="single" w:sz="4" w:space="0" w:color="auto"/>
              <w:left w:val="nil"/>
              <w:bottom w:val="single" w:sz="12"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 Inciso V</w:t>
            </w:r>
          </w:p>
        </w:tc>
        <w:tc>
          <w:tcPr>
            <w:tcW w:w="993" w:type="dxa"/>
            <w:tcBorders>
              <w:top w:val="single" w:sz="4" w:space="0" w:color="auto"/>
              <w:left w:val="single" w:sz="4" w:space="0" w:color="auto"/>
              <w:bottom w:val="single" w:sz="12" w:space="0" w:color="auto"/>
              <w:right w:val="nil"/>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84.179,38 </w:t>
            </w:r>
          </w:p>
        </w:tc>
        <w:tc>
          <w:tcPr>
            <w:tcW w:w="1134" w:type="dxa"/>
            <w:tcBorders>
              <w:top w:val="nil"/>
              <w:left w:val="single" w:sz="8" w:space="0" w:color="auto"/>
              <w:bottom w:val="single" w:sz="12" w:space="0" w:color="auto"/>
              <w:right w:val="single" w:sz="4" w:space="0" w:color="auto"/>
            </w:tcBorders>
            <w:shd w:val="clear" w:color="000000" w:fill="CCFFCC"/>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single" w:sz="12"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single" w:sz="12" w:space="0" w:color="auto"/>
              <w:right w:val="single" w:sz="4"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CCFFCC"/>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12" w:space="0" w:color="auto"/>
              <w:left w:val="single" w:sz="12" w:space="0" w:color="auto"/>
              <w:bottom w:val="single" w:sz="4" w:space="0" w:color="auto"/>
              <w:right w:val="single" w:sz="4" w:space="0" w:color="auto"/>
            </w:tcBorders>
            <w:shd w:val="clear" w:color="000000" w:fill="FFCC99"/>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Bradesco FI Multimercado Plus I</w:t>
            </w:r>
          </w:p>
        </w:tc>
        <w:tc>
          <w:tcPr>
            <w:tcW w:w="1701" w:type="dxa"/>
            <w:tcBorders>
              <w:top w:val="single" w:sz="12" w:space="0" w:color="auto"/>
              <w:left w:val="nil"/>
              <w:bottom w:val="single" w:sz="4" w:space="0" w:color="auto"/>
              <w:right w:val="nil"/>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IV</w:t>
            </w:r>
          </w:p>
        </w:tc>
        <w:tc>
          <w:tcPr>
            <w:tcW w:w="993" w:type="dxa"/>
            <w:tcBorders>
              <w:top w:val="single" w:sz="12" w:space="0" w:color="auto"/>
              <w:left w:val="single" w:sz="4" w:space="0" w:color="auto"/>
              <w:bottom w:val="single" w:sz="4" w:space="0" w:color="auto"/>
              <w:right w:val="single" w:sz="4" w:space="0" w:color="auto"/>
            </w:tcBorders>
            <w:shd w:val="clear" w:color="000000" w:fill="FFCC99"/>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1.388.097,37 </w:t>
            </w:r>
          </w:p>
        </w:tc>
        <w:tc>
          <w:tcPr>
            <w:tcW w:w="1134" w:type="dxa"/>
            <w:tcBorders>
              <w:top w:val="single" w:sz="12" w:space="0" w:color="auto"/>
              <w:left w:val="nil"/>
              <w:bottom w:val="nil"/>
              <w:right w:val="single" w:sz="4" w:space="0" w:color="auto"/>
            </w:tcBorders>
            <w:shd w:val="clear" w:color="000000" w:fill="FFCC99"/>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single" w:sz="12" w:space="0" w:color="auto"/>
              <w:left w:val="nil"/>
              <w:bottom w:val="nil"/>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single" w:sz="12" w:space="0" w:color="auto"/>
              <w:left w:val="nil"/>
              <w:bottom w:val="nil"/>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single" w:sz="12" w:space="0" w:color="auto"/>
              <w:left w:val="nil"/>
              <w:bottom w:val="nil"/>
              <w:right w:val="single" w:sz="12"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single" w:sz="4" w:space="0" w:color="auto"/>
              <w:right w:val="single" w:sz="4" w:space="0" w:color="auto"/>
            </w:tcBorders>
            <w:shd w:val="clear" w:color="000000" w:fill="FFCC99"/>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FI Caixa Brasil IPCA V Multimercado Crédito Privado</w:t>
            </w:r>
          </w:p>
        </w:tc>
        <w:tc>
          <w:tcPr>
            <w:tcW w:w="1701" w:type="dxa"/>
            <w:tcBorders>
              <w:top w:val="nil"/>
              <w:left w:val="nil"/>
              <w:bottom w:val="single" w:sz="4" w:space="0" w:color="auto"/>
              <w:right w:val="nil"/>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IV</w:t>
            </w:r>
          </w:p>
        </w:tc>
        <w:tc>
          <w:tcPr>
            <w:tcW w:w="993" w:type="dxa"/>
            <w:tcBorders>
              <w:top w:val="nil"/>
              <w:left w:val="single" w:sz="4" w:space="0" w:color="auto"/>
              <w:bottom w:val="single" w:sz="4" w:space="0" w:color="auto"/>
              <w:right w:val="single" w:sz="4" w:space="0" w:color="auto"/>
            </w:tcBorders>
            <w:shd w:val="clear" w:color="000000" w:fill="FFCC99"/>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17.929.175,00 </w:t>
            </w:r>
          </w:p>
        </w:tc>
        <w:tc>
          <w:tcPr>
            <w:tcW w:w="1134" w:type="dxa"/>
            <w:tcBorders>
              <w:top w:val="nil"/>
              <w:left w:val="nil"/>
              <w:bottom w:val="nil"/>
              <w:right w:val="single" w:sz="4" w:space="0" w:color="auto"/>
            </w:tcBorders>
            <w:shd w:val="clear" w:color="000000" w:fill="FFCC99"/>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nil"/>
              <w:left w:val="single" w:sz="12" w:space="0" w:color="auto"/>
              <w:bottom w:val="nil"/>
              <w:right w:val="single" w:sz="4" w:space="0" w:color="auto"/>
            </w:tcBorders>
            <w:shd w:val="clear" w:color="000000" w:fill="FFCC99"/>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FI Caixa Brasil IPCA VI Multimercado Crédito Privado</w:t>
            </w:r>
          </w:p>
        </w:tc>
        <w:tc>
          <w:tcPr>
            <w:tcW w:w="1701" w:type="dxa"/>
            <w:tcBorders>
              <w:top w:val="nil"/>
              <w:left w:val="nil"/>
              <w:bottom w:val="nil"/>
              <w:right w:val="nil"/>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IV</w:t>
            </w:r>
          </w:p>
        </w:tc>
        <w:tc>
          <w:tcPr>
            <w:tcW w:w="993" w:type="dxa"/>
            <w:tcBorders>
              <w:top w:val="nil"/>
              <w:left w:val="single" w:sz="4" w:space="0" w:color="auto"/>
              <w:bottom w:val="single" w:sz="4" w:space="0" w:color="auto"/>
              <w:right w:val="single" w:sz="4" w:space="0" w:color="auto"/>
            </w:tcBorders>
            <w:shd w:val="clear" w:color="000000" w:fill="FFCC99"/>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6.587.844,00 </w:t>
            </w:r>
          </w:p>
        </w:tc>
        <w:tc>
          <w:tcPr>
            <w:tcW w:w="1134" w:type="dxa"/>
            <w:tcBorders>
              <w:top w:val="nil"/>
              <w:left w:val="nil"/>
              <w:bottom w:val="nil"/>
              <w:right w:val="single" w:sz="4" w:space="0" w:color="auto"/>
            </w:tcBorders>
            <w:shd w:val="clear" w:color="000000" w:fill="FFCC99"/>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36.145.538,40 </w:t>
            </w:r>
          </w:p>
        </w:tc>
        <w:tc>
          <w:tcPr>
            <w:tcW w:w="754" w:type="dxa"/>
            <w:tcBorders>
              <w:top w:val="nil"/>
              <w:left w:val="nil"/>
              <w:bottom w:val="nil"/>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1,98%</w:t>
            </w:r>
          </w:p>
        </w:tc>
        <w:tc>
          <w:tcPr>
            <w:tcW w:w="805" w:type="dxa"/>
            <w:tcBorders>
              <w:top w:val="nil"/>
              <w:left w:val="nil"/>
              <w:bottom w:val="nil"/>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5,00%</w:t>
            </w:r>
          </w:p>
        </w:tc>
        <w:tc>
          <w:tcPr>
            <w:tcW w:w="709" w:type="dxa"/>
            <w:tcBorders>
              <w:top w:val="nil"/>
              <w:left w:val="nil"/>
              <w:bottom w:val="nil"/>
              <w:right w:val="single" w:sz="12"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5,00%</w:t>
            </w:r>
          </w:p>
        </w:tc>
      </w:tr>
      <w:tr w:rsidR="00F15237" w:rsidRPr="008B6C9D" w:rsidTr="00DC00D2">
        <w:trPr>
          <w:trHeight w:hRule="exact" w:val="227"/>
        </w:trPr>
        <w:tc>
          <w:tcPr>
            <w:tcW w:w="2850" w:type="dxa"/>
            <w:tcBorders>
              <w:top w:val="single" w:sz="4" w:space="0" w:color="auto"/>
              <w:left w:val="single" w:sz="12" w:space="0" w:color="auto"/>
              <w:bottom w:val="nil"/>
              <w:right w:val="single" w:sz="4" w:space="0" w:color="auto"/>
            </w:tcBorders>
            <w:shd w:val="clear" w:color="000000" w:fill="FFCC99"/>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FI Caixa Brasil IPCA VIII Multimercado Crédito Privado</w:t>
            </w:r>
          </w:p>
        </w:tc>
        <w:tc>
          <w:tcPr>
            <w:tcW w:w="1701" w:type="dxa"/>
            <w:tcBorders>
              <w:top w:val="single" w:sz="4" w:space="0" w:color="auto"/>
              <w:left w:val="nil"/>
              <w:bottom w:val="nil"/>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IV</w:t>
            </w:r>
          </w:p>
        </w:tc>
        <w:tc>
          <w:tcPr>
            <w:tcW w:w="993" w:type="dxa"/>
            <w:tcBorders>
              <w:top w:val="nil"/>
              <w:left w:val="single" w:sz="4" w:space="0" w:color="auto"/>
              <w:bottom w:val="nil"/>
              <w:right w:val="single" w:sz="4" w:space="0" w:color="auto"/>
            </w:tcBorders>
            <w:shd w:val="clear" w:color="000000" w:fill="FFCC99"/>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5.923.050,81 </w:t>
            </w:r>
          </w:p>
        </w:tc>
        <w:tc>
          <w:tcPr>
            <w:tcW w:w="1134" w:type="dxa"/>
            <w:tcBorders>
              <w:top w:val="nil"/>
              <w:left w:val="nil"/>
              <w:bottom w:val="nil"/>
              <w:right w:val="single" w:sz="4" w:space="0" w:color="auto"/>
            </w:tcBorders>
            <w:shd w:val="clear" w:color="000000" w:fill="FFCC99"/>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nil"/>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nil"/>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nil"/>
              <w:right w:val="single" w:sz="12"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F15237" w:rsidRPr="008B6C9D" w:rsidTr="00DC00D2">
        <w:trPr>
          <w:trHeight w:hRule="exact" w:val="227"/>
        </w:trPr>
        <w:tc>
          <w:tcPr>
            <w:tcW w:w="2850" w:type="dxa"/>
            <w:tcBorders>
              <w:top w:val="single" w:sz="4" w:space="0" w:color="auto"/>
              <w:left w:val="single" w:sz="12" w:space="0" w:color="auto"/>
              <w:bottom w:val="single" w:sz="12" w:space="0" w:color="auto"/>
              <w:right w:val="single" w:sz="4" w:space="0" w:color="auto"/>
            </w:tcBorders>
            <w:shd w:val="clear" w:color="000000" w:fill="FFCC99"/>
            <w:noWrap/>
            <w:vAlign w:val="center"/>
            <w:hideMark/>
          </w:tcPr>
          <w:p w:rsidR="00F15237" w:rsidRPr="008B6C9D" w:rsidRDefault="00F15237" w:rsidP="008B6C9D">
            <w:pPr>
              <w:rPr>
                <w:rFonts w:ascii="Arial" w:hAnsi="Arial" w:cs="Arial"/>
                <w:sz w:val="11"/>
                <w:szCs w:val="11"/>
              </w:rPr>
            </w:pPr>
            <w:r w:rsidRPr="008B6C9D">
              <w:rPr>
                <w:rFonts w:ascii="Arial" w:hAnsi="Arial" w:cs="Arial"/>
                <w:sz w:val="11"/>
                <w:szCs w:val="11"/>
              </w:rPr>
              <w:t>Itaú Institucional Multimercado Juros e Moedas FI</w:t>
            </w:r>
          </w:p>
        </w:tc>
        <w:tc>
          <w:tcPr>
            <w:tcW w:w="1701" w:type="dxa"/>
            <w:tcBorders>
              <w:top w:val="single" w:sz="4" w:space="0" w:color="auto"/>
              <w:left w:val="nil"/>
              <w:bottom w:val="single" w:sz="12" w:space="0" w:color="auto"/>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Art. 8º, Inciso IV</w:t>
            </w:r>
          </w:p>
        </w:tc>
        <w:tc>
          <w:tcPr>
            <w:tcW w:w="993" w:type="dxa"/>
            <w:tcBorders>
              <w:top w:val="single" w:sz="4" w:space="0" w:color="auto"/>
              <w:left w:val="single" w:sz="4" w:space="0" w:color="auto"/>
              <w:bottom w:val="single" w:sz="12" w:space="0" w:color="auto"/>
              <w:right w:val="single" w:sz="4" w:space="0" w:color="auto"/>
            </w:tcBorders>
            <w:shd w:val="clear" w:color="000000" w:fill="FFCC99"/>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xml:space="preserve">4.317.371,22 </w:t>
            </w:r>
          </w:p>
        </w:tc>
        <w:tc>
          <w:tcPr>
            <w:tcW w:w="1134" w:type="dxa"/>
            <w:tcBorders>
              <w:top w:val="nil"/>
              <w:left w:val="nil"/>
              <w:bottom w:val="single" w:sz="12" w:space="0" w:color="auto"/>
              <w:right w:val="single" w:sz="4" w:space="0" w:color="auto"/>
            </w:tcBorders>
            <w:shd w:val="clear" w:color="000000" w:fill="FFCC99"/>
            <w:noWrap/>
            <w:vAlign w:val="center"/>
            <w:hideMark/>
          </w:tcPr>
          <w:p w:rsidR="00F15237" w:rsidRPr="008B6C9D" w:rsidRDefault="00F15237" w:rsidP="008B6C9D">
            <w:pPr>
              <w:jc w:val="right"/>
              <w:rPr>
                <w:rFonts w:ascii="Arial" w:hAnsi="Arial" w:cs="Arial"/>
                <w:sz w:val="12"/>
                <w:szCs w:val="12"/>
              </w:rPr>
            </w:pPr>
            <w:r w:rsidRPr="008B6C9D">
              <w:rPr>
                <w:rFonts w:ascii="Arial" w:hAnsi="Arial" w:cs="Arial"/>
                <w:sz w:val="12"/>
                <w:szCs w:val="12"/>
              </w:rPr>
              <w:t> </w:t>
            </w:r>
          </w:p>
        </w:tc>
        <w:tc>
          <w:tcPr>
            <w:tcW w:w="754" w:type="dxa"/>
            <w:tcBorders>
              <w:top w:val="nil"/>
              <w:left w:val="nil"/>
              <w:bottom w:val="single" w:sz="12" w:space="0" w:color="auto"/>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805" w:type="dxa"/>
            <w:tcBorders>
              <w:top w:val="nil"/>
              <w:left w:val="nil"/>
              <w:bottom w:val="single" w:sz="12" w:space="0" w:color="auto"/>
              <w:right w:val="single" w:sz="4"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FFCC99"/>
            <w:noWrap/>
            <w:vAlign w:val="center"/>
            <w:hideMark/>
          </w:tcPr>
          <w:p w:rsidR="00F15237" w:rsidRPr="008B6C9D" w:rsidRDefault="00F15237" w:rsidP="008B6C9D">
            <w:pPr>
              <w:jc w:val="center"/>
              <w:rPr>
                <w:rFonts w:ascii="Arial" w:hAnsi="Arial" w:cs="Arial"/>
                <w:sz w:val="12"/>
                <w:szCs w:val="12"/>
              </w:rPr>
            </w:pPr>
            <w:r w:rsidRPr="008B6C9D">
              <w:rPr>
                <w:rFonts w:ascii="Arial" w:hAnsi="Arial" w:cs="Arial"/>
                <w:sz w:val="12"/>
                <w:szCs w:val="12"/>
              </w:rPr>
              <w:t> </w:t>
            </w:r>
          </w:p>
        </w:tc>
      </w:tr>
      <w:tr w:rsidR="00123BEC" w:rsidRPr="008B6C9D" w:rsidTr="00DC00D2">
        <w:trPr>
          <w:trHeight w:hRule="exact" w:val="227"/>
        </w:trPr>
        <w:tc>
          <w:tcPr>
            <w:tcW w:w="5544" w:type="dxa"/>
            <w:gridSpan w:val="3"/>
            <w:tcBorders>
              <w:top w:val="single" w:sz="12" w:space="0" w:color="auto"/>
              <w:left w:val="single" w:sz="12" w:space="0" w:color="auto"/>
              <w:bottom w:val="single" w:sz="12" w:space="0" w:color="auto"/>
              <w:right w:val="single" w:sz="12" w:space="0" w:color="auto"/>
            </w:tcBorders>
            <w:shd w:val="clear" w:color="auto" w:fill="D99594" w:themeFill="accent2" w:themeFillTint="99"/>
            <w:noWrap/>
            <w:vAlign w:val="center"/>
            <w:hideMark/>
          </w:tcPr>
          <w:p w:rsidR="00123BEC" w:rsidRPr="008B6C9D" w:rsidRDefault="00123BEC" w:rsidP="00123BEC">
            <w:pPr>
              <w:rPr>
                <w:rFonts w:ascii="Arial" w:hAnsi="Arial" w:cs="Arial"/>
                <w:sz w:val="12"/>
                <w:szCs w:val="12"/>
              </w:rPr>
            </w:pPr>
            <w:r>
              <w:rPr>
                <w:rFonts w:ascii="Arial" w:hAnsi="Arial" w:cs="Arial"/>
                <w:sz w:val="11"/>
                <w:szCs w:val="11"/>
              </w:rPr>
              <w:t>DISPONIBILIDADE EM CONTAS CORRENTES EM 31/10/2014</w:t>
            </w:r>
          </w:p>
        </w:tc>
        <w:tc>
          <w:tcPr>
            <w:tcW w:w="1134" w:type="dxa"/>
            <w:tcBorders>
              <w:top w:val="single" w:sz="12" w:space="0" w:color="auto"/>
              <w:left w:val="single" w:sz="12" w:space="0" w:color="auto"/>
              <w:bottom w:val="single" w:sz="12" w:space="0" w:color="auto"/>
              <w:right w:val="single" w:sz="12" w:space="0" w:color="auto"/>
            </w:tcBorders>
            <w:shd w:val="clear" w:color="auto" w:fill="D99594" w:themeFill="accent2" w:themeFillTint="99"/>
            <w:noWrap/>
            <w:vAlign w:val="center"/>
            <w:hideMark/>
          </w:tcPr>
          <w:p w:rsidR="00123BEC" w:rsidRPr="008B6C9D" w:rsidRDefault="00222EF2" w:rsidP="008B6C9D">
            <w:pPr>
              <w:jc w:val="right"/>
              <w:rPr>
                <w:rFonts w:ascii="Arial" w:hAnsi="Arial" w:cs="Arial"/>
                <w:sz w:val="12"/>
                <w:szCs w:val="12"/>
              </w:rPr>
            </w:pPr>
            <w:r>
              <w:rPr>
                <w:rFonts w:ascii="Arial" w:hAnsi="Arial" w:cs="Arial"/>
                <w:sz w:val="12"/>
                <w:szCs w:val="12"/>
              </w:rPr>
              <w:t>36.244.324,99</w:t>
            </w:r>
          </w:p>
        </w:tc>
        <w:tc>
          <w:tcPr>
            <w:tcW w:w="754" w:type="dxa"/>
            <w:tcBorders>
              <w:top w:val="single" w:sz="12" w:space="0" w:color="auto"/>
              <w:left w:val="single" w:sz="12" w:space="0" w:color="auto"/>
              <w:bottom w:val="single" w:sz="12" w:space="0" w:color="auto"/>
              <w:right w:val="single" w:sz="12" w:space="0" w:color="auto"/>
            </w:tcBorders>
            <w:shd w:val="clear" w:color="auto" w:fill="D99594" w:themeFill="accent2" w:themeFillTint="99"/>
            <w:noWrap/>
            <w:vAlign w:val="center"/>
            <w:hideMark/>
          </w:tcPr>
          <w:p w:rsidR="00123BEC" w:rsidRPr="008B6C9D" w:rsidRDefault="00DC00D2" w:rsidP="008B6C9D">
            <w:pPr>
              <w:jc w:val="center"/>
              <w:rPr>
                <w:rFonts w:ascii="Arial" w:hAnsi="Arial" w:cs="Arial"/>
                <w:sz w:val="12"/>
                <w:szCs w:val="12"/>
              </w:rPr>
            </w:pPr>
            <w:r>
              <w:rPr>
                <w:rFonts w:ascii="Arial" w:hAnsi="Arial" w:cs="Arial"/>
                <w:sz w:val="12"/>
                <w:szCs w:val="12"/>
              </w:rPr>
              <w:t>1,98%</w:t>
            </w:r>
          </w:p>
        </w:tc>
        <w:tc>
          <w:tcPr>
            <w:tcW w:w="805" w:type="dxa"/>
            <w:tcBorders>
              <w:top w:val="single" w:sz="12" w:space="0" w:color="auto"/>
              <w:left w:val="single" w:sz="12" w:space="0" w:color="auto"/>
              <w:bottom w:val="single" w:sz="12" w:space="0" w:color="auto"/>
              <w:right w:val="single" w:sz="12" w:space="0" w:color="auto"/>
            </w:tcBorders>
            <w:shd w:val="clear" w:color="auto" w:fill="D99594" w:themeFill="accent2" w:themeFillTint="99"/>
            <w:noWrap/>
            <w:vAlign w:val="center"/>
            <w:hideMark/>
          </w:tcPr>
          <w:p w:rsidR="00123BEC" w:rsidRPr="008B6C9D" w:rsidRDefault="00123BEC" w:rsidP="008B6C9D">
            <w:pPr>
              <w:jc w:val="center"/>
              <w:rPr>
                <w:rFonts w:ascii="Arial" w:hAnsi="Arial" w:cs="Arial"/>
                <w:sz w:val="12"/>
                <w:szCs w:val="12"/>
              </w:rPr>
            </w:pPr>
          </w:p>
        </w:tc>
        <w:tc>
          <w:tcPr>
            <w:tcW w:w="709" w:type="dxa"/>
            <w:tcBorders>
              <w:top w:val="single" w:sz="12" w:space="0" w:color="auto"/>
              <w:left w:val="single" w:sz="12" w:space="0" w:color="auto"/>
              <w:bottom w:val="single" w:sz="12" w:space="0" w:color="auto"/>
              <w:right w:val="single" w:sz="12" w:space="0" w:color="auto"/>
            </w:tcBorders>
            <w:shd w:val="clear" w:color="auto" w:fill="D99594" w:themeFill="accent2" w:themeFillTint="99"/>
            <w:noWrap/>
            <w:vAlign w:val="center"/>
            <w:hideMark/>
          </w:tcPr>
          <w:p w:rsidR="00123BEC" w:rsidRPr="008B6C9D" w:rsidRDefault="00123BEC" w:rsidP="008B6C9D">
            <w:pPr>
              <w:jc w:val="center"/>
              <w:rPr>
                <w:rFonts w:ascii="Arial" w:hAnsi="Arial" w:cs="Arial"/>
                <w:sz w:val="12"/>
                <w:szCs w:val="12"/>
              </w:rPr>
            </w:pPr>
          </w:p>
        </w:tc>
      </w:tr>
      <w:tr w:rsidR="00123BEC" w:rsidRPr="008B6C9D" w:rsidTr="00DC00D2">
        <w:trPr>
          <w:trHeight w:hRule="exact" w:val="227"/>
        </w:trPr>
        <w:tc>
          <w:tcPr>
            <w:tcW w:w="5544" w:type="dxa"/>
            <w:gridSpan w:val="3"/>
            <w:tcBorders>
              <w:top w:val="single" w:sz="12" w:space="0" w:color="auto"/>
              <w:left w:val="single" w:sz="12" w:space="0" w:color="auto"/>
              <w:bottom w:val="single" w:sz="12" w:space="0" w:color="auto"/>
              <w:right w:val="single" w:sz="12" w:space="0" w:color="auto"/>
            </w:tcBorders>
            <w:shd w:val="clear" w:color="auto" w:fill="003300"/>
            <w:noWrap/>
            <w:vAlign w:val="center"/>
            <w:hideMark/>
          </w:tcPr>
          <w:p w:rsidR="00123BEC" w:rsidRPr="00222EF2" w:rsidRDefault="00123BEC" w:rsidP="00123BEC">
            <w:pPr>
              <w:rPr>
                <w:rFonts w:ascii="Arial" w:hAnsi="Arial" w:cs="Arial"/>
                <w:b/>
                <w:color w:val="FFFFFF" w:themeColor="background1"/>
                <w:sz w:val="12"/>
                <w:szCs w:val="12"/>
              </w:rPr>
            </w:pPr>
            <w:r w:rsidRPr="00222EF2">
              <w:rPr>
                <w:rFonts w:ascii="Arial" w:hAnsi="Arial" w:cs="Arial"/>
                <w:b/>
                <w:color w:val="FFFFFF" w:themeColor="background1"/>
                <w:sz w:val="12"/>
                <w:szCs w:val="12"/>
              </w:rPr>
              <w:t>TOTAL DO PLANO FINANCEIRO DISPONÍVEL EM 31/10/2014</w:t>
            </w:r>
          </w:p>
        </w:tc>
        <w:tc>
          <w:tcPr>
            <w:tcW w:w="1134" w:type="dxa"/>
            <w:tcBorders>
              <w:top w:val="single" w:sz="12" w:space="0" w:color="auto"/>
              <w:left w:val="single" w:sz="12" w:space="0" w:color="auto"/>
              <w:bottom w:val="single" w:sz="12" w:space="0" w:color="auto"/>
              <w:right w:val="single" w:sz="12" w:space="0" w:color="auto"/>
            </w:tcBorders>
            <w:shd w:val="clear" w:color="auto" w:fill="003300"/>
            <w:noWrap/>
            <w:vAlign w:val="center"/>
            <w:hideMark/>
          </w:tcPr>
          <w:p w:rsidR="00123BEC" w:rsidRPr="00222EF2" w:rsidRDefault="00222EF2" w:rsidP="008B6C9D">
            <w:pPr>
              <w:jc w:val="right"/>
              <w:rPr>
                <w:rFonts w:ascii="Arial" w:hAnsi="Arial" w:cs="Arial"/>
                <w:b/>
                <w:color w:val="FFFFFF" w:themeColor="background1"/>
                <w:sz w:val="12"/>
                <w:szCs w:val="12"/>
              </w:rPr>
            </w:pPr>
            <w:r>
              <w:rPr>
                <w:rFonts w:ascii="Arial" w:hAnsi="Arial" w:cs="Arial"/>
                <w:b/>
                <w:color w:val="FFFFFF" w:themeColor="background1"/>
                <w:sz w:val="12"/>
                <w:szCs w:val="12"/>
              </w:rPr>
              <w:t>1.829.002.500,21</w:t>
            </w:r>
          </w:p>
        </w:tc>
        <w:tc>
          <w:tcPr>
            <w:tcW w:w="754" w:type="dxa"/>
            <w:tcBorders>
              <w:top w:val="single" w:sz="12" w:space="0" w:color="auto"/>
              <w:left w:val="single" w:sz="12" w:space="0" w:color="auto"/>
              <w:bottom w:val="single" w:sz="12" w:space="0" w:color="auto"/>
              <w:right w:val="single" w:sz="12" w:space="0" w:color="auto"/>
            </w:tcBorders>
            <w:shd w:val="clear" w:color="auto" w:fill="003300"/>
            <w:noWrap/>
            <w:vAlign w:val="center"/>
            <w:hideMark/>
          </w:tcPr>
          <w:p w:rsidR="00123BEC" w:rsidRPr="00222EF2" w:rsidRDefault="00DC00D2" w:rsidP="008B6C9D">
            <w:pPr>
              <w:jc w:val="center"/>
              <w:rPr>
                <w:rFonts w:ascii="Arial" w:hAnsi="Arial" w:cs="Arial"/>
                <w:b/>
                <w:color w:val="FFFFFF" w:themeColor="background1"/>
                <w:sz w:val="12"/>
                <w:szCs w:val="12"/>
              </w:rPr>
            </w:pPr>
            <w:r>
              <w:rPr>
                <w:rFonts w:ascii="Arial" w:hAnsi="Arial" w:cs="Arial"/>
                <w:b/>
                <w:color w:val="FFFFFF" w:themeColor="background1"/>
                <w:sz w:val="12"/>
                <w:szCs w:val="12"/>
              </w:rPr>
              <w:t>100,00%</w:t>
            </w:r>
          </w:p>
        </w:tc>
        <w:tc>
          <w:tcPr>
            <w:tcW w:w="805" w:type="dxa"/>
            <w:tcBorders>
              <w:top w:val="single" w:sz="12" w:space="0" w:color="auto"/>
              <w:left w:val="single" w:sz="12" w:space="0" w:color="auto"/>
              <w:bottom w:val="single" w:sz="12" w:space="0" w:color="auto"/>
              <w:right w:val="single" w:sz="12" w:space="0" w:color="auto"/>
            </w:tcBorders>
            <w:shd w:val="clear" w:color="auto" w:fill="003300"/>
            <w:noWrap/>
            <w:vAlign w:val="center"/>
            <w:hideMark/>
          </w:tcPr>
          <w:p w:rsidR="00123BEC" w:rsidRPr="00222EF2" w:rsidRDefault="00123BEC" w:rsidP="008B6C9D">
            <w:pPr>
              <w:jc w:val="center"/>
              <w:rPr>
                <w:rFonts w:ascii="Arial" w:hAnsi="Arial" w:cs="Arial"/>
                <w:b/>
                <w:color w:val="FFFFFF" w:themeColor="background1"/>
                <w:sz w:val="12"/>
                <w:szCs w:val="12"/>
              </w:rPr>
            </w:pPr>
          </w:p>
        </w:tc>
        <w:tc>
          <w:tcPr>
            <w:tcW w:w="709" w:type="dxa"/>
            <w:tcBorders>
              <w:top w:val="single" w:sz="12" w:space="0" w:color="auto"/>
              <w:left w:val="single" w:sz="12" w:space="0" w:color="auto"/>
              <w:bottom w:val="single" w:sz="12" w:space="0" w:color="auto"/>
              <w:right w:val="single" w:sz="12" w:space="0" w:color="auto"/>
            </w:tcBorders>
            <w:shd w:val="clear" w:color="auto" w:fill="003300"/>
            <w:noWrap/>
            <w:vAlign w:val="center"/>
            <w:hideMark/>
          </w:tcPr>
          <w:p w:rsidR="00123BEC" w:rsidRPr="00222EF2" w:rsidRDefault="00123BEC" w:rsidP="008B6C9D">
            <w:pPr>
              <w:jc w:val="center"/>
              <w:rPr>
                <w:rFonts w:ascii="Arial" w:hAnsi="Arial" w:cs="Arial"/>
                <w:b/>
                <w:color w:val="FFFFFF" w:themeColor="background1"/>
                <w:sz w:val="12"/>
                <w:szCs w:val="12"/>
              </w:rPr>
            </w:pPr>
          </w:p>
        </w:tc>
      </w:tr>
    </w:tbl>
    <w:p w:rsidR="002E4BBB" w:rsidRDefault="002E4BBB" w:rsidP="00BA766E">
      <w:pPr>
        <w:spacing w:after="120"/>
        <w:jc w:val="center"/>
        <w:rPr>
          <w:rFonts w:ascii="Arial" w:hAnsi="Arial" w:cs="Arial"/>
          <w:smallCaps/>
          <w:color w:val="000000"/>
          <w:sz w:val="20"/>
          <w:szCs w:val="20"/>
        </w:rPr>
      </w:pPr>
    </w:p>
    <w:tbl>
      <w:tblPr>
        <w:tblW w:w="8946" w:type="dxa"/>
        <w:tblInd w:w="55" w:type="dxa"/>
        <w:tblCellMar>
          <w:left w:w="70" w:type="dxa"/>
          <w:right w:w="70" w:type="dxa"/>
        </w:tblCellMar>
        <w:tblLook w:val="04A0" w:firstRow="1" w:lastRow="0" w:firstColumn="1" w:lastColumn="0" w:noHBand="0" w:noVBand="1"/>
      </w:tblPr>
      <w:tblGrid>
        <w:gridCol w:w="2939"/>
        <w:gridCol w:w="1612"/>
        <w:gridCol w:w="1134"/>
        <w:gridCol w:w="975"/>
        <w:gridCol w:w="754"/>
        <w:gridCol w:w="851"/>
        <w:gridCol w:w="709"/>
      </w:tblGrid>
      <w:tr w:rsidR="00E854E4" w:rsidRPr="00E854E4" w:rsidTr="00222EF2">
        <w:trPr>
          <w:trHeight w:val="255"/>
        </w:trPr>
        <w:tc>
          <w:tcPr>
            <w:tcW w:w="8946" w:type="dxa"/>
            <w:gridSpan w:val="7"/>
            <w:tcBorders>
              <w:top w:val="single" w:sz="12" w:space="0" w:color="auto"/>
              <w:left w:val="single" w:sz="12" w:space="0" w:color="auto"/>
              <w:bottom w:val="nil"/>
              <w:right w:val="single" w:sz="12" w:space="0" w:color="auto"/>
            </w:tcBorders>
            <w:shd w:val="clear" w:color="auto" w:fill="003300"/>
            <w:noWrap/>
            <w:vAlign w:val="center"/>
            <w:hideMark/>
          </w:tcPr>
          <w:p w:rsidR="00E854E4" w:rsidRPr="00222EF2" w:rsidRDefault="00E854E4" w:rsidP="00E854E4">
            <w:pPr>
              <w:jc w:val="center"/>
              <w:rPr>
                <w:rFonts w:ascii="Arial" w:hAnsi="Arial" w:cs="Arial"/>
                <w:b/>
                <w:bCs/>
                <w:color w:val="FFFFFF" w:themeColor="background1"/>
                <w:sz w:val="20"/>
                <w:szCs w:val="20"/>
              </w:rPr>
            </w:pPr>
            <w:r w:rsidRPr="00222EF2">
              <w:rPr>
                <w:rFonts w:ascii="Arial" w:hAnsi="Arial" w:cs="Arial"/>
                <w:b/>
                <w:bCs/>
                <w:color w:val="FFFFFF" w:themeColor="background1"/>
                <w:sz w:val="20"/>
                <w:szCs w:val="20"/>
              </w:rPr>
              <w:t>PLANO PREVIDENCIÁRIO</w:t>
            </w:r>
          </w:p>
        </w:tc>
      </w:tr>
      <w:tr w:rsidR="00E854E4" w:rsidRPr="00E854E4" w:rsidTr="007808BE">
        <w:trPr>
          <w:trHeight w:val="255"/>
        </w:trPr>
        <w:tc>
          <w:tcPr>
            <w:tcW w:w="8946" w:type="dxa"/>
            <w:gridSpan w:val="7"/>
            <w:tcBorders>
              <w:top w:val="single" w:sz="12" w:space="0" w:color="auto"/>
              <w:left w:val="single" w:sz="12" w:space="0" w:color="auto"/>
              <w:bottom w:val="single" w:sz="12" w:space="0" w:color="auto"/>
              <w:right w:val="single" w:sz="12" w:space="0" w:color="auto"/>
            </w:tcBorders>
            <w:shd w:val="clear" w:color="auto" w:fill="003300"/>
            <w:noWrap/>
            <w:vAlign w:val="center"/>
            <w:hideMark/>
          </w:tcPr>
          <w:p w:rsidR="00E854E4" w:rsidRPr="00222EF2" w:rsidRDefault="00E854E4" w:rsidP="00E854E4">
            <w:pPr>
              <w:jc w:val="center"/>
              <w:rPr>
                <w:rFonts w:ascii="Arial" w:hAnsi="Arial" w:cs="Arial"/>
                <w:b/>
                <w:bCs/>
                <w:color w:val="FFFFFF" w:themeColor="background1"/>
                <w:sz w:val="20"/>
                <w:szCs w:val="20"/>
              </w:rPr>
            </w:pPr>
            <w:r w:rsidRPr="00222EF2">
              <w:rPr>
                <w:rFonts w:ascii="Arial" w:hAnsi="Arial" w:cs="Arial"/>
                <w:b/>
                <w:bCs/>
                <w:color w:val="FFFFFF" w:themeColor="background1"/>
                <w:sz w:val="20"/>
                <w:szCs w:val="20"/>
              </w:rPr>
              <w:t>DISPONIBILIDADE E ENQUADRAMENTO LEGAL DA CARTEIRA DA AMPREV</w:t>
            </w:r>
          </w:p>
        </w:tc>
      </w:tr>
      <w:tr w:rsidR="007808BE" w:rsidRPr="00D13A2A" w:rsidTr="007808BE">
        <w:trPr>
          <w:trHeight w:val="170"/>
        </w:trPr>
        <w:tc>
          <w:tcPr>
            <w:tcW w:w="2939" w:type="dxa"/>
            <w:tcBorders>
              <w:top w:val="single" w:sz="12" w:space="0" w:color="auto"/>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5"/>
                <w:szCs w:val="15"/>
              </w:rPr>
            </w:pPr>
            <w:r w:rsidRPr="008B6C9D">
              <w:rPr>
                <w:rFonts w:ascii="Arial" w:hAnsi="Arial" w:cs="Arial"/>
                <w:b/>
                <w:bCs/>
                <w:sz w:val="15"/>
                <w:szCs w:val="15"/>
              </w:rPr>
              <w:t> </w:t>
            </w:r>
          </w:p>
        </w:tc>
        <w:tc>
          <w:tcPr>
            <w:tcW w:w="1612" w:type="dxa"/>
            <w:tcBorders>
              <w:top w:val="single" w:sz="12" w:space="0" w:color="auto"/>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Enquadramento</w:t>
            </w:r>
          </w:p>
        </w:tc>
        <w:tc>
          <w:tcPr>
            <w:tcW w:w="1134" w:type="dxa"/>
            <w:tcBorders>
              <w:top w:val="single" w:sz="12" w:space="0" w:color="auto"/>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 </w:t>
            </w:r>
          </w:p>
        </w:tc>
        <w:tc>
          <w:tcPr>
            <w:tcW w:w="975" w:type="dxa"/>
            <w:tcBorders>
              <w:top w:val="single" w:sz="12" w:space="0" w:color="auto"/>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Total por</w:t>
            </w:r>
          </w:p>
        </w:tc>
        <w:tc>
          <w:tcPr>
            <w:tcW w:w="726" w:type="dxa"/>
            <w:tcBorders>
              <w:top w:val="single" w:sz="12" w:space="0" w:color="auto"/>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Percentual no</w:t>
            </w:r>
          </w:p>
        </w:tc>
        <w:tc>
          <w:tcPr>
            <w:tcW w:w="851" w:type="dxa"/>
            <w:tcBorders>
              <w:top w:val="single" w:sz="12" w:space="0" w:color="auto"/>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Limite Max.</w:t>
            </w:r>
          </w:p>
        </w:tc>
        <w:tc>
          <w:tcPr>
            <w:tcW w:w="709" w:type="dxa"/>
            <w:tcBorders>
              <w:top w:val="single" w:sz="12" w:space="0" w:color="auto"/>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Limite Max.</w:t>
            </w:r>
          </w:p>
        </w:tc>
      </w:tr>
      <w:tr w:rsidR="007808BE" w:rsidRPr="00D13A2A" w:rsidTr="007808BE">
        <w:trPr>
          <w:trHeight w:val="170"/>
        </w:trPr>
        <w:tc>
          <w:tcPr>
            <w:tcW w:w="2939" w:type="dxa"/>
            <w:tcBorders>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5"/>
                <w:szCs w:val="15"/>
              </w:rPr>
            </w:pPr>
            <w:r w:rsidRPr="008B6C9D">
              <w:rPr>
                <w:rFonts w:ascii="Arial" w:hAnsi="Arial" w:cs="Arial"/>
                <w:b/>
                <w:bCs/>
                <w:sz w:val="15"/>
                <w:szCs w:val="15"/>
              </w:rPr>
              <w:t>APLICAÇÕES</w:t>
            </w:r>
          </w:p>
        </w:tc>
        <w:tc>
          <w:tcPr>
            <w:tcW w:w="1612" w:type="dxa"/>
            <w:tcBorders>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Resolução</w:t>
            </w:r>
          </w:p>
        </w:tc>
        <w:tc>
          <w:tcPr>
            <w:tcW w:w="1134" w:type="dxa"/>
            <w:tcBorders>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Valor R$</w:t>
            </w:r>
          </w:p>
        </w:tc>
        <w:tc>
          <w:tcPr>
            <w:tcW w:w="975" w:type="dxa"/>
            <w:tcBorders>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Segmento</w:t>
            </w:r>
          </w:p>
        </w:tc>
        <w:tc>
          <w:tcPr>
            <w:tcW w:w="726" w:type="dxa"/>
            <w:tcBorders>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Patr. Liquido</w:t>
            </w:r>
          </w:p>
        </w:tc>
        <w:tc>
          <w:tcPr>
            <w:tcW w:w="851" w:type="dxa"/>
            <w:tcBorders>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Permitido Res.</w:t>
            </w:r>
          </w:p>
        </w:tc>
        <w:tc>
          <w:tcPr>
            <w:tcW w:w="709" w:type="dxa"/>
            <w:tcBorders>
              <w:left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Polit. Invest.</w:t>
            </w:r>
          </w:p>
        </w:tc>
      </w:tr>
      <w:tr w:rsidR="007808BE" w:rsidRPr="00D13A2A" w:rsidTr="007808BE">
        <w:trPr>
          <w:trHeight w:val="170"/>
        </w:trPr>
        <w:tc>
          <w:tcPr>
            <w:tcW w:w="2939" w:type="dxa"/>
            <w:tcBorders>
              <w:left w:val="single" w:sz="12" w:space="0" w:color="auto"/>
              <w:bottom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5"/>
                <w:szCs w:val="15"/>
              </w:rPr>
            </w:pPr>
            <w:r w:rsidRPr="008B6C9D">
              <w:rPr>
                <w:rFonts w:ascii="Arial" w:hAnsi="Arial" w:cs="Arial"/>
                <w:b/>
                <w:bCs/>
                <w:sz w:val="15"/>
                <w:szCs w:val="15"/>
              </w:rPr>
              <w:t> </w:t>
            </w:r>
          </w:p>
        </w:tc>
        <w:tc>
          <w:tcPr>
            <w:tcW w:w="1612" w:type="dxa"/>
            <w:tcBorders>
              <w:left w:val="single" w:sz="12" w:space="0" w:color="auto"/>
              <w:bottom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3.922/2010-CMN</w:t>
            </w:r>
          </w:p>
        </w:tc>
        <w:tc>
          <w:tcPr>
            <w:tcW w:w="1134" w:type="dxa"/>
            <w:tcBorders>
              <w:left w:val="single" w:sz="12" w:space="0" w:color="auto"/>
              <w:bottom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 </w:t>
            </w:r>
          </w:p>
        </w:tc>
        <w:tc>
          <w:tcPr>
            <w:tcW w:w="975" w:type="dxa"/>
            <w:tcBorders>
              <w:left w:val="single" w:sz="12" w:space="0" w:color="auto"/>
              <w:bottom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em R$</w:t>
            </w:r>
          </w:p>
        </w:tc>
        <w:tc>
          <w:tcPr>
            <w:tcW w:w="726" w:type="dxa"/>
            <w:tcBorders>
              <w:left w:val="single" w:sz="12" w:space="0" w:color="auto"/>
              <w:bottom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da AMPREV</w:t>
            </w:r>
          </w:p>
        </w:tc>
        <w:tc>
          <w:tcPr>
            <w:tcW w:w="851" w:type="dxa"/>
            <w:tcBorders>
              <w:left w:val="single" w:sz="12" w:space="0" w:color="auto"/>
              <w:bottom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3.922/2010-CMN</w:t>
            </w:r>
          </w:p>
        </w:tc>
        <w:tc>
          <w:tcPr>
            <w:tcW w:w="709" w:type="dxa"/>
            <w:tcBorders>
              <w:left w:val="single" w:sz="12" w:space="0" w:color="auto"/>
              <w:bottom w:val="single" w:sz="12" w:space="0" w:color="auto"/>
              <w:right w:val="single" w:sz="12" w:space="0" w:color="auto"/>
            </w:tcBorders>
            <w:shd w:val="clear" w:color="auto" w:fill="auto"/>
            <w:noWrap/>
            <w:vAlign w:val="center"/>
            <w:hideMark/>
          </w:tcPr>
          <w:p w:rsidR="007808BE" w:rsidRPr="008B6C9D" w:rsidRDefault="007808BE" w:rsidP="00895FF5">
            <w:pPr>
              <w:jc w:val="center"/>
              <w:rPr>
                <w:rFonts w:ascii="Arial" w:hAnsi="Arial" w:cs="Arial"/>
                <w:b/>
                <w:bCs/>
                <w:sz w:val="12"/>
                <w:szCs w:val="12"/>
              </w:rPr>
            </w:pPr>
            <w:r w:rsidRPr="008B6C9D">
              <w:rPr>
                <w:rFonts w:ascii="Arial" w:hAnsi="Arial" w:cs="Arial"/>
                <w:b/>
                <w:bCs/>
                <w:sz w:val="12"/>
                <w:szCs w:val="12"/>
              </w:rPr>
              <w:t>da AMPREV</w:t>
            </w:r>
          </w:p>
        </w:tc>
      </w:tr>
      <w:tr w:rsidR="00E854E4" w:rsidRPr="00D13A2A" w:rsidTr="00E854E4">
        <w:trPr>
          <w:trHeight w:val="170"/>
        </w:trPr>
        <w:tc>
          <w:tcPr>
            <w:tcW w:w="2939" w:type="dxa"/>
            <w:tcBorders>
              <w:top w:val="single" w:sz="12" w:space="0" w:color="auto"/>
              <w:left w:val="single" w:sz="12" w:space="0" w:color="auto"/>
              <w:bottom w:val="single" w:sz="12" w:space="0" w:color="auto"/>
              <w:right w:val="single" w:sz="4" w:space="0" w:color="auto"/>
            </w:tcBorders>
            <w:shd w:val="clear" w:color="000000" w:fill="CCECFF"/>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Carteira Administra Caixa Econômica - NTN-B (POS)</w:t>
            </w:r>
          </w:p>
        </w:tc>
        <w:tc>
          <w:tcPr>
            <w:tcW w:w="1612" w:type="dxa"/>
            <w:tcBorders>
              <w:top w:val="single" w:sz="12" w:space="0" w:color="auto"/>
              <w:left w:val="nil"/>
              <w:bottom w:val="single" w:sz="12" w:space="0" w:color="auto"/>
              <w:right w:val="nil"/>
            </w:tcBorders>
            <w:shd w:val="clear" w:color="000000" w:fill="CCECFF"/>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 alínea "a"</w:t>
            </w:r>
          </w:p>
        </w:tc>
        <w:tc>
          <w:tcPr>
            <w:tcW w:w="1134" w:type="dxa"/>
            <w:tcBorders>
              <w:top w:val="single" w:sz="12" w:space="0" w:color="auto"/>
              <w:left w:val="single" w:sz="4" w:space="0" w:color="auto"/>
              <w:bottom w:val="single" w:sz="12" w:space="0" w:color="auto"/>
              <w:right w:val="single" w:sz="4" w:space="0" w:color="auto"/>
            </w:tcBorders>
            <w:shd w:val="clear" w:color="000000" w:fill="CCECFF"/>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159.223.378,08 </w:t>
            </w:r>
          </w:p>
        </w:tc>
        <w:tc>
          <w:tcPr>
            <w:tcW w:w="975" w:type="dxa"/>
            <w:tcBorders>
              <w:top w:val="single" w:sz="12" w:space="0" w:color="auto"/>
              <w:left w:val="nil"/>
              <w:bottom w:val="single" w:sz="12" w:space="0" w:color="auto"/>
              <w:right w:val="single" w:sz="4" w:space="0" w:color="auto"/>
            </w:tcBorders>
            <w:shd w:val="clear" w:color="000000" w:fill="CCECFF"/>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159.223.378,08 </w:t>
            </w:r>
          </w:p>
        </w:tc>
        <w:tc>
          <w:tcPr>
            <w:tcW w:w="726" w:type="dxa"/>
            <w:tcBorders>
              <w:top w:val="single" w:sz="12" w:space="0" w:color="auto"/>
              <w:left w:val="nil"/>
              <w:bottom w:val="single" w:sz="12" w:space="0" w:color="auto"/>
              <w:right w:val="single" w:sz="4" w:space="0" w:color="auto"/>
            </w:tcBorders>
            <w:shd w:val="clear" w:color="000000" w:fill="CCECFF"/>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38,39%</w:t>
            </w:r>
          </w:p>
        </w:tc>
        <w:tc>
          <w:tcPr>
            <w:tcW w:w="851" w:type="dxa"/>
            <w:tcBorders>
              <w:top w:val="single" w:sz="12" w:space="0" w:color="auto"/>
              <w:left w:val="nil"/>
              <w:bottom w:val="single" w:sz="12" w:space="0" w:color="auto"/>
              <w:right w:val="single" w:sz="4" w:space="0" w:color="auto"/>
            </w:tcBorders>
            <w:shd w:val="clear" w:color="000000" w:fill="CCECFF"/>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100,00%</w:t>
            </w:r>
          </w:p>
        </w:tc>
        <w:tc>
          <w:tcPr>
            <w:tcW w:w="709" w:type="dxa"/>
            <w:tcBorders>
              <w:top w:val="single" w:sz="12" w:space="0" w:color="auto"/>
              <w:left w:val="nil"/>
              <w:bottom w:val="single" w:sz="12" w:space="0" w:color="auto"/>
              <w:right w:val="single" w:sz="12" w:space="0" w:color="auto"/>
            </w:tcBorders>
            <w:shd w:val="clear" w:color="000000" w:fill="CCECFF"/>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100,00%</w:t>
            </w:r>
          </w:p>
        </w:tc>
      </w:tr>
      <w:tr w:rsidR="00E854E4" w:rsidRPr="00D13A2A" w:rsidTr="00E854E4">
        <w:trPr>
          <w:trHeight w:val="170"/>
        </w:trPr>
        <w:tc>
          <w:tcPr>
            <w:tcW w:w="2939" w:type="dxa"/>
            <w:tcBorders>
              <w:top w:val="single" w:sz="12" w:space="0" w:color="auto"/>
              <w:left w:val="single" w:sz="12" w:space="0" w:color="auto"/>
              <w:bottom w:val="single" w:sz="4"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FI Caixa Brasil IMA-B 5 Títulos Públicos RF LP</w:t>
            </w:r>
          </w:p>
        </w:tc>
        <w:tc>
          <w:tcPr>
            <w:tcW w:w="1612" w:type="dxa"/>
            <w:tcBorders>
              <w:top w:val="single" w:sz="12" w:space="0" w:color="auto"/>
              <w:left w:val="nil"/>
              <w:bottom w:val="single" w:sz="4"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 alínea "b"</w:t>
            </w:r>
          </w:p>
        </w:tc>
        <w:tc>
          <w:tcPr>
            <w:tcW w:w="1134" w:type="dxa"/>
            <w:tcBorders>
              <w:top w:val="single" w:sz="12" w:space="0" w:color="auto"/>
              <w:left w:val="nil"/>
              <w:bottom w:val="single" w:sz="4"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4.534.130,93 </w:t>
            </w:r>
          </w:p>
        </w:tc>
        <w:tc>
          <w:tcPr>
            <w:tcW w:w="975" w:type="dxa"/>
            <w:tcBorders>
              <w:top w:val="single" w:sz="12" w:space="0" w:color="auto"/>
              <w:left w:val="nil"/>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w:t>
            </w:r>
          </w:p>
        </w:tc>
        <w:tc>
          <w:tcPr>
            <w:tcW w:w="726" w:type="dxa"/>
            <w:tcBorders>
              <w:top w:val="single" w:sz="12" w:space="0" w:color="auto"/>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851" w:type="dxa"/>
            <w:tcBorders>
              <w:top w:val="single" w:sz="12" w:space="0" w:color="auto"/>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single" w:sz="12" w:space="0" w:color="auto"/>
              <w:left w:val="nil"/>
              <w:bottom w:val="nil"/>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E854E4" w:rsidRPr="00D13A2A" w:rsidTr="00E854E4">
        <w:trPr>
          <w:trHeight w:val="170"/>
        </w:trPr>
        <w:tc>
          <w:tcPr>
            <w:tcW w:w="2939" w:type="dxa"/>
            <w:tcBorders>
              <w:top w:val="nil"/>
              <w:left w:val="single" w:sz="12" w:space="0" w:color="auto"/>
              <w:bottom w:val="single" w:sz="4"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Itaú Institucional RF Inflação FIC FI</w:t>
            </w:r>
          </w:p>
        </w:tc>
        <w:tc>
          <w:tcPr>
            <w:tcW w:w="1612" w:type="dxa"/>
            <w:tcBorders>
              <w:top w:val="nil"/>
              <w:left w:val="nil"/>
              <w:bottom w:val="single" w:sz="4"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 alínea "b"</w:t>
            </w:r>
          </w:p>
        </w:tc>
        <w:tc>
          <w:tcPr>
            <w:tcW w:w="1134"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8.839.759,01 </w:t>
            </w:r>
          </w:p>
        </w:tc>
        <w:tc>
          <w:tcPr>
            <w:tcW w:w="975"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w:t>
            </w:r>
          </w:p>
        </w:tc>
        <w:tc>
          <w:tcPr>
            <w:tcW w:w="726"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851"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E854E4" w:rsidRPr="00D13A2A" w:rsidTr="00E854E4">
        <w:trPr>
          <w:trHeight w:val="170"/>
        </w:trPr>
        <w:tc>
          <w:tcPr>
            <w:tcW w:w="2939" w:type="dxa"/>
            <w:tcBorders>
              <w:top w:val="nil"/>
              <w:left w:val="single" w:sz="12" w:space="0" w:color="auto"/>
              <w:bottom w:val="single" w:sz="4"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Itaú Institucional RF Inflação 5 FIC FI</w:t>
            </w:r>
          </w:p>
        </w:tc>
        <w:tc>
          <w:tcPr>
            <w:tcW w:w="1612" w:type="dxa"/>
            <w:tcBorders>
              <w:top w:val="nil"/>
              <w:left w:val="nil"/>
              <w:bottom w:val="single" w:sz="4"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 alínea "b"</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4.505.802,04 </w:t>
            </w:r>
          </w:p>
        </w:tc>
        <w:tc>
          <w:tcPr>
            <w:tcW w:w="975"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w:t>
            </w:r>
          </w:p>
        </w:tc>
        <w:tc>
          <w:tcPr>
            <w:tcW w:w="726"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851"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E854E4" w:rsidRPr="00D13A2A" w:rsidTr="00E854E4">
        <w:trPr>
          <w:trHeight w:val="170"/>
        </w:trPr>
        <w:tc>
          <w:tcPr>
            <w:tcW w:w="2939" w:type="dxa"/>
            <w:tcBorders>
              <w:top w:val="nil"/>
              <w:left w:val="single" w:sz="12" w:space="0" w:color="auto"/>
              <w:bottom w:val="single" w:sz="4"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Santander FIC FI IMA-B Títulos Públicos Renda Fixa</w:t>
            </w:r>
          </w:p>
        </w:tc>
        <w:tc>
          <w:tcPr>
            <w:tcW w:w="1612" w:type="dxa"/>
            <w:tcBorders>
              <w:top w:val="nil"/>
              <w:left w:val="nil"/>
              <w:bottom w:val="single" w:sz="4"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 alínea "b"</w:t>
            </w:r>
          </w:p>
        </w:tc>
        <w:tc>
          <w:tcPr>
            <w:tcW w:w="1134" w:type="dxa"/>
            <w:tcBorders>
              <w:top w:val="nil"/>
              <w:left w:val="nil"/>
              <w:bottom w:val="single" w:sz="4"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3.106.519,01 </w:t>
            </w:r>
          </w:p>
        </w:tc>
        <w:tc>
          <w:tcPr>
            <w:tcW w:w="975"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21.216.026,37 </w:t>
            </w:r>
          </w:p>
        </w:tc>
        <w:tc>
          <w:tcPr>
            <w:tcW w:w="726" w:type="dxa"/>
            <w:tcBorders>
              <w:top w:val="nil"/>
              <w:left w:val="nil"/>
              <w:bottom w:val="nil"/>
              <w:right w:val="single" w:sz="4" w:space="0" w:color="auto"/>
            </w:tcBorders>
            <w:shd w:val="clear" w:color="000000" w:fill="FFFFCC"/>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5,12%</w:t>
            </w:r>
          </w:p>
        </w:tc>
        <w:tc>
          <w:tcPr>
            <w:tcW w:w="851"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100,00%</w:t>
            </w:r>
          </w:p>
        </w:tc>
        <w:tc>
          <w:tcPr>
            <w:tcW w:w="709" w:type="dxa"/>
            <w:tcBorders>
              <w:top w:val="nil"/>
              <w:left w:val="nil"/>
              <w:bottom w:val="nil"/>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100,00%</w:t>
            </w:r>
          </w:p>
        </w:tc>
      </w:tr>
      <w:tr w:rsidR="00E854E4" w:rsidRPr="00D13A2A" w:rsidTr="00E854E4">
        <w:trPr>
          <w:trHeight w:val="170"/>
        </w:trPr>
        <w:tc>
          <w:tcPr>
            <w:tcW w:w="2939" w:type="dxa"/>
            <w:tcBorders>
              <w:top w:val="nil"/>
              <w:left w:val="single" w:sz="12" w:space="0" w:color="auto"/>
              <w:bottom w:val="single" w:sz="12"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Santander FIC FI IMA-B</w:t>
            </w:r>
            <w:r w:rsidR="00E854E4">
              <w:rPr>
                <w:rFonts w:ascii="Arial" w:hAnsi="Arial" w:cs="Arial"/>
                <w:sz w:val="11"/>
                <w:szCs w:val="11"/>
              </w:rPr>
              <w:t xml:space="preserve"> Institucional TP</w:t>
            </w:r>
            <w:r w:rsidRPr="00D13A2A">
              <w:rPr>
                <w:rFonts w:ascii="Arial" w:hAnsi="Arial" w:cs="Arial"/>
                <w:sz w:val="11"/>
                <w:szCs w:val="11"/>
              </w:rPr>
              <w:t xml:space="preserve"> RF LP</w:t>
            </w:r>
          </w:p>
        </w:tc>
        <w:tc>
          <w:tcPr>
            <w:tcW w:w="1612" w:type="dxa"/>
            <w:tcBorders>
              <w:top w:val="nil"/>
              <w:left w:val="nil"/>
              <w:bottom w:val="single" w:sz="12"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 alínea "b"</w:t>
            </w:r>
          </w:p>
        </w:tc>
        <w:tc>
          <w:tcPr>
            <w:tcW w:w="1134" w:type="dxa"/>
            <w:tcBorders>
              <w:top w:val="nil"/>
              <w:left w:val="nil"/>
              <w:bottom w:val="single" w:sz="12"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229.815,38 </w:t>
            </w:r>
          </w:p>
        </w:tc>
        <w:tc>
          <w:tcPr>
            <w:tcW w:w="975" w:type="dxa"/>
            <w:tcBorders>
              <w:top w:val="nil"/>
              <w:left w:val="nil"/>
              <w:bottom w:val="single" w:sz="12"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2"/>
                <w:szCs w:val="12"/>
              </w:rPr>
            </w:pPr>
            <w:r w:rsidRPr="00D13A2A">
              <w:rPr>
                <w:rFonts w:ascii="Arial" w:hAnsi="Arial" w:cs="Arial"/>
                <w:sz w:val="12"/>
                <w:szCs w:val="12"/>
              </w:rPr>
              <w:t> </w:t>
            </w:r>
          </w:p>
        </w:tc>
        <w:tc>
          <w:tcPr>
            <w:tcW w:w="726" w:type="dxa"/>
            <w:tcBorders>
              <w:top w:val="nil"/>
              <w:left w:val="nil"/>
              <w:bottom w:val="single" w:sz="12"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2"/>
                <w:szCs w:val="12"/>
              </w:rPr>
            </w:pPr>
            <w:r w:rsidRPr="00D13A2A">
              <w:rPr>
                <w:rFonts w:ascii="Arial" w:hAnsi="Arial" w:cs="Arial"/>
                <w:sz w:val="12"/>
                <w:szCs w:val="12"/>
              </w:rPr>
              <w:t> </w:t>
            </w:r>
          </w:p>
        </w:tc>
        <w:tc>
          <w:tcPr>
            <w:tcW w:w="851" w:type="dxa"/>
            <w:tcBorders>
              <w:top w:val="nil"/>
              <w:left w:val="nil"/>
              <w:bottom w:val="single" w:sz="12"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2"/>
                <w:szCs w:val="12"/>
              </w:rPr>
            </w:pPr>
            <w:r w:rsidRPr="00D13A2A">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FFFFCC"/>
            <w:noWrap/>
            <w:vAlign w:val="center"/>
            <w:hideMark/>
          </w:tcPr>
          <w:p w:rsidR="00D13A2A" w:rsidRPr="00D13A2A" w:rsidRDefault="00D13A2A" w:rsidP="00D13A2A">
            <w:pPr>
              <w:rPr>
                <w:rFonts w:ascii="Arial" w:hAnsi="Arial" w:cs="Arial"/>
                <w:sz w:val="12"/>
                <w:szCs w:val="12"/>
              </w:rPr>
            </w:pPr>
            <w:r w:rsidRPr="00D13A2A">
              <w:rPr>
                <w:rFonts w:ascii="Arial" w:hAnsi="Arial" w:cs="Arial"/>
                <w:sz w:val="12"/>
                <w:szCs w:val="12"/>
              </w:rPr>
              <w:t> </w:t>
            </w:r>
          </w:p>
        </w:tc>
      </w:tr>
      <w:tr w:rsidR="00E854E4" w:rsidRPr="00D13A2A" w:rsidTr="00E854E4">
        <w:trPr>
          <w:trHeight w:val="170"/>
        </w:trPr>
        <w:tc>
          <w:tcPr>
            <w:tcW w:w="2939" w:type="dxa"/>
            <w:tcBorders>
              <w:top w:val="single" w:sz="12" w:space="0" w:color="auto"/>
              <w:left w:val="single" w:sz="12" w:space="0" w:color="auto"/>
              <w:bottom w:val="single" w:sz="4"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FIC FI Caixa Novo Brasil  IMA-B Renda Fixa LP</w:t>
            </w:r>
          </w:p>
        </w:tc>
        <w:tc>
          <w:tcPr>
            <w:tcW w:w="1612" w:type="dxa"/>
            <w:tcBorders>
              <w:top w:val="single" w:sz="12" w:space="0" w:color="auto"/>
              <w:left w:val="nil"/>
              <w:bottom w:val="single" w:sz="4"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III</w:t>
            </w:r>
          </w:p>
        </w:tc>
        <w:tc>
          <w:tcPr>
            <w:tcW w:w="1134" w:type="dxa"/>
            <w:tcBorders>
              <w:top w:val="single" w:sz="12" w:space="0" w:color="auto"/>
              <w:left w:val="nil"/>
              <w:bottom w:val="single" w:sz="4"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84.468.196,73 </w:t>
            </w:r>
          </w:p>
        </w:tc>
        <w:tc>
          <w:tcPr>
            <w:tcW w:w="975" w:type="dxa"/>
            <w:tcBorders>
              <w:top w:val="single" w:sz="12" w:space="0" w:color="auto"/>
              <w:left w:val="nil"/>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w:t>
            </w:r>
          </w:p>
        </w:tc>
        <w:tc>
          <w:tcPr>
            <w:tcW w:w="726" w:type="dxa"/>
            <w:tcBorders>
              <w:top w:val="single" w:sz="12" w:space="0" w:color="auto"/>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851" w:type="dxa"/>
            <w:tcBorders>
              <w:top w:val="single" w:sz="12" w:space="0" w:color="auto"/>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single" w:sz="12" w:space="0" w:color="auto"/>
              <w:left w:val="nil"/>
              <w:bottom w:val="nil"/>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E854E4" w:rsidRPr="00D13A2A" w:rsidTr="00E854E4">
        <w:trPr>
          <w:trHeight w:val="170"/>
        </w:trPr>
        <w:tc>
          <w:tcPr>
            <w:tcW w:w="2939" w:type="dxa"/>
            <w:tcBorders>
              <w:top w:val="nil"/>
              <w:left w:val="single" w:sz="12" w:space="0" w:color="auto"/>
              <w:bottom w:val="single" w:sz="4"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BB Previdenciário Renda Fixa IMA-B FI</w:t>
            </w:r>
          </w:p>
        </w:tc>
        <w:tc>
          <w:tcPr>
            <w:tcW w:w="1612" w:type="dxa"/>
            <w:tcBorders>
              <w:top w:val="nil"/>
              <w:left w:val="nil"/>
              <w:bottom w:val="single" w:sz="4"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III</w:t>
            </w:r>
          </w:p>
        </w:tc>
        <w:tc>
          <w:tcPr>
            <w:tcW w:w="1134" w:type="dxa"/>
            <w:tcBorders>
              <w:top w:val="nil"/>
              <w:left w:val="nil"/>
              <w:bottom w:val="single" w:sz="4"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32.539.391,65 </w:t>
            </w:r>
          </w:p>
        </w:tc>
        <w:tc>
          <w:tcPr>
            <w:tcW w:w="975" w:type="dxa"/>
            <w:tcBorders>
              <w:top w:val="nil"/>
              <w:left w:val="nil"/>
              <w:bottom w:val="nil"/>
              <w:right w:val="single" w:sz="4" w:space="0" w:color="auto"/>
            </w:tcBorders>
            <w:shd w:val="clear" w:color="000000" w:fill="FFFFCC"/>
            <w:noWrap/>
            <w:vAlign w:val="center"/>
            <w:hideMark/>
          </w:tcPr>
          <w:p w:rsidR="00D13A2A" w:rsidRPr="00D13A2A" w:rsidRDefault="00D13A2A" w:rsidP="00D13A2A">
            <w:pPr>
              <w:rPr>
                <w:rFonts w:ascii="Arial" w:hAnsi="Arial" w:cs="Arial"/>
                <w:sz w:val="12"/>
                <w:szCs w:val="12"/>
              </w:rPr>
            </w:pPr>
            <w:r w:rsidRPr="00D13A2A">
              <w:rPr>
                <w:rFonts w:ascii="Arial" w:hAnsi="Arial" w:cs="Arial"/>
                <w:sz w:val="12"/>
                <w:szCs w:val="12"/>
              </w:rPr>
              <w:t> </w:t>
            </w:r>
          </w:p>
        </w:tc>
        <w:tc>
          <w:tcPr>
            <w:tcW w:w="726" w:type="dxa"/>
            <w:tcBorders>
              <w:top w:val="nil"/>
              <w:left w:val="nil"/>
              <w:bottom w:val="nil"/>
              <w:right w:val="single" w:sz="4" w:space="0" w:color="auto"/>
            </w:tcBorders>
            <w:shd w:val="clear" w:color="000000" w:fill="FFFFCC"/>
            <w:noWrap/>
            <w:vAlign w:val="center"/>
            <w:hideMark/>
          </w:tcPr>
          <w:p w:rsidR="00D13A2A" w:rsidRPr="00D13A2A" w:rsidRDefault="00D13A2A" w:rsidP="00D13A2A">
            <w:pPr>
              <w:rPr>
                <w:rFonts w:ascii="Arial" w:hAnsi="Arial" w:cs="Arial"/>
                <w:sz w:val="12"/>
                <w:szCs w:val="12"/>
              </w:rPr>
            </w:pPr>
            <w:r w:rsidRPr="00D13A2A">
              <w:rPr>
                <w:rFonts w:ascii="Arial" w:hAnsi="Arial" w:cs="Arial"/>
                <w:sz w:val="12"/>
                <w:szCs w:val="12"/>
              </w:rPr>
              <w:t> </w:t>
            </w:r>
          </w:p>
        </w:tc>
        <w:tc>
          <w:tcPr>
            <w:tcW w:w="851" w:type="dxa"/>
            <w:tcBorders>
              <w:top w:val="nil"/>
              <w:left w:val="nil"/>
              <w:bottom w:val="nil"/>
              <w:right w:val="single" w:sz="4" w:space="0" w:color="auto"/>
            </w:tcBorders>
            <w:shd w:val="clear" w:color="000000" w:fill="FFFFCC"/>
            <w:noWrap/>
            <w:vAlign w:val="center"/>
            <w:hideMark/>
          </w:tcPr>
          <w:p w:rsidR="00D13A2A" w:rsidRPr="00D13A2A" w:rsidRDefault="00D13A2A" w:rsidP="00D13A2A">
            <w:pPr>
              <w:rPr>
                <w:rFonts w:ascii="Arial" w:hAnsi="Arial" w:cs="Arial"/>
                <w:sz w:val="12"/>
                <w:szCs w:val="12"/>
              </w:rPr>
            </w:pPr>
            <w:r w:rsidRPr="00D13A2A">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D13A2A" w:rsidRPr="00D13A2A" w:rsidRDefault="00D13A2A" w:rsidP="00D13A2A">
            <w:pPr>
              <w:rPr>
                <w:rFonts w:ascii="Arial" w:hAnsi="Arial" w:cs="Arial"/>
                <w:sz w:val="12"/>
                <w:szCs w:val="12"/>
              </w:rPr>
            </w:pPr>
            <w:r w:rsidRPr="00D13A2A">
              <w:rPr>
                <w:rFonts w:ascii="Arial" w:hAnsi="Arial" w:cs="Arial"/>
                <w:sz w:val="12"/>
                <w:szCs w:val="12"/>
              </w:rPr>
              <w:t> </w:t>
            </w:r>
          </w:p>
        </w:tc>
      </w:tr>
      <w:tr w:rsidR="00E854E4" w:rsidRPr="00D13A2A" w:rsidTr="00E854E4">
        <w:trPr>
          <w:trHeight w:val="170"/>
        </w:trPr>
        <w:tc>
          <w:tcPr>
            <w:tcW w:w="2939" w:type="dxa"/>
            <w:tcBorders>
              <w:top w:val="nil"/>
              <w:left w:val="single" w:sz="12" w:space="0" w:color="auto"/>
              <w:bottom w:val="single" w:sz="4"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BTG Pactual IPCA FI Renda Fixa</w:t>
            </w:r>
          </w:p>
        </w:tc>
        <w:tc>
          <w:tcPr>
            <w:tcW w:w="1612" w:type="dxa"/>
            <w:tcBorders>
              <w:top w:val="nil"/>
              <w:left w:val="nil"/>
              <w:bottom w:val="single" w:sz="4"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III</w:t>
            </w:r>
          </w:p>
        </w:tc>
        <w:tc>
          <w:tcPr>
            <w:tcW w:w="1134" w:type="dxa"/>
            <w:tcBorders>
              <w:top w:val="nil"/>
              <w:left w:val="nil"/>
              <w:bottom w:val="single" w:sz="4"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16.449.908,04 </w:t>
            </w:r>
          </w:p>
        </w:tc>
        <w:tc>
          <w:tcPr>
            <w:tcW w:w="975"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170.114.494,38 </w:t>
            </w:r>
          </w:p>
        </w:tc>
        <w:tc>
          <w:tcPr>
            <w:tcW w:w="726" w:type="dxa"/>
            <w:tcBorders>
              <w:top w:val="nil"/>
              <w:left w:val="nil"/>
              <w:bottom w:val="nil"/>
              <w:right w:val="single" w:sz="4" w:space="0" w:color="auto"/>
            </w:tcBorders>
            <w:shd w:val="clear" w:color="000000" w:fill="FFFFCC"/>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41,02%</w:t>
            </w:r>
          </w:p>
        </w:tc>
        <w:tc>
          <w:tcPr>
            <w:tcW w:w="851"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80,00%</w:t>
            </w:r>
          </w:p>
        </w:tc>
        <w:tc>
          <w:tcPr>
            <w:tcW w:w="709" w:type="dxa"/>
            <w:tcBorders>
              <w:top w:val="nil"/>
              <w:left w:val="nil"/>
              <w:bottom w:val="nil"/>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80,00%</w:t>
            </w:r>
          </w:p>
        </w:tc>
      </w:tr>
      <w:tr w:rsidR="00E854E4" w:rsidRPr="00D13A2A" w:rsidTr="00E854E4">
        <w:trPr>
          <w:trHeight w:val="170"/>
        </w:trPr>
        <w:tc>
          <w:tcPr>
            <w:tcW w:w="2939" w:type="dxa"/>
            <w:tcBorders>
              <w:top w:val="nil"/>
              <w:left w:val="single" w:sz="12" w:space="0" w:color="auto"/>
              <w:bottom w:val="single" w:sz="4"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BTG Pactual FI RF IMA B</w:t>
            </w:r>
          </w:p>
        </w:tc>
        <w:tc>
          <w:tcPr>
            <w:tcW w:w="1612" w:type="dxa"/>
            <w:tcBorders>
              <w:top w:val="nil"/>
              <w:left w:val="nil"/>
              <w:bottom w:val="single" w:sz="4" w:space="0" w:color="auto"/>
              <w:right w:val="nil"/>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III</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10.623.539,14 </w:t>
            </w:r>
          </w:p>
        </w:tc>
        <w:tc>
          <w:tcPr>
            <w:tcW w:w="975"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w:t>
            </w:r>
          </w:p>
        </w:tc>
        <w:tc>
          <w:tcPr>
            <w:tcW w:w="726"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851"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E854E4" w:rsidRPr="00D13A2A" w:rsidTr="00E854E4">
        <w:trPr>
          <w:trHeight w:val="170"/>
        </w:trPr>
        <w:tc>
          <w:tcPr>
            <w:tcW w:w="2939" w:type="dxa"/>
            <w:tcBorders>
              <w:top w:val="nil"/>
              <w:left w:val="single" w:sz="12" w:space="0" w:color="auto"/>
              <w:bottom w:val="single" w:sz="4"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Bradesco Institucional FIC  FI Renda Fixa IMA-B</w:t>
            </w:r>
          </w:p>
        </w:tc>
        <w:tc>
          <w:tcPr>
            <w:tcW w:w="1612" w:type="dxa"/>
            <w:tcBorders>
              <w:top w:val="nil"/>
              <w:left w:val="nil"/>
              <w:bottom w:val="single" w:sz="4" w:space="0" w:color="auto"/>
              <w:right w:val="nil"/>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III</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12.805.667,12 </w:t>
            </w:r>
          </w:p>
        </w:tc>
        <w:tc>
          <w:tcPr>
            <w:tcW w:w="975"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w:t>
            </w:r>
          </w:p>
        </w:tc>
        <w:tc>
          <w:tcPr>
            <w:tcW w:w="726"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851"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E854E4" w:rsidRPr="00D13A2A" w:rsidTr="00E854E4">
        <w:trPr>
          <w:trHeight w:val="170"/>
        </w:trPr>
        <w:tc>
          <w:tcPr>
            <w:tcW w:w="2939" w:type="dxa"/>
            <w:tcBorders>
              <w:top w:val="nil"/>
              <w:left w:val="single" w:sz="12" w:space="0" w:color="auto"/>
              <w:bottom w:val="nil"/>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Bradesco Institucional FIC  FI Renda Fixa IMA-Geral</w:t>
            </w:r>
          </w:p>
        </w:tc>
        <w:tc>
          <w:tcPr>
            <w:tcW w:w="1612" w:type="dxa"/>
            <w:tcBorders>
              <w:top w:val="nil"/>
              <w:left w:val="nil"/>
              <w:bottom w:val="nil"/>
              <w:right w:val="nil"/>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III</w:t>
            </w:r>
          </w:p>
        </w:tc>
        <w:tc>
          <w:tcPr>
            <w:tcW w:w="1134" w:type="dxa"/>
            <w:tcBorders>
              <w:top w:val="nil"/>
              <w:left w:val="single" w:sz="4" w:space="0" w:color="auto"/>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5.755.626,50 </w:t>
            </w:r>
          </w:p>
        </w:tc>
        <w:tc>
          <w:tcPr>
            <w:tcW w:w="975"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w:t>
            </w:r>
          </w:p>
        </w:tc>
        <w:tc>
          <w:tcPr>
            <w:tcW w:w="726"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851" w:type="dxa"/>
            <w:tcBorders>
              <w:top w:val="nil"/>
              <w:left w:val="nil"/>
              <w:bottom w:val="nil"/>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nil"/>
              <w:left w:val="nil"/>
              <w:bottom w:val="nil"/>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E854E4" w:rsidRPr="00D13A2A" w:rsidTr="00B84A77">
        <w:trPr>
          <w:trHeight w:val="170"/>
        </w:trPr>
        <w:tc>
          <w:tcPr>
            <w:tcW w:w="2939" w:type="dxa"/>
            <w:tcBorders>
              <w:top w:val="single" w:sz="4" w:space="0" w:color="auto"/>
              <w:left w:val="single" w:sz="12" w:space="0" w:color="auto"/>
              <w:bottom w:val="single" w:sz="12"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Bradesco Institucional FIC  FI Renda Fixa IMA-B 5+</w:t>
            </w:r>
          </w:p>
        </w:tc>
        <w:tc>
          <w:tcPr>
            <w:tcW w:w="1612" w:type="dxa"/>
            <w:tcBorders>
              <w:top w:val="single" w:sz="4" w:space="0" w:color="auto"/>
              <w:left w:val="nil"/>
              <w:bottom w:val="single" w:sz="12" w:space="0" w:color="auto"/>
              <w:right w:val="nil"/>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III</w:t>
            </w:r>
          </w:p>
        </w:tc>
        <w:tc>
          <w:tcPr>
            <w:tcW w:w="1134" w:type="dxa"/>
            <w:tcBorders>
              <w:top w:val="single" w:sz="4" w:space="0" w:color="auto"/>
              <w:left w:val="single" w:sz="4" w:space="0" w:color="auto"/>
              <w:bottom w:val="single" w:sz="12"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7.472.165,20 </w:t>
            </w:r>
          </w:p>
        </w:tc>
        <w:tc>
          <w:tcPr>
            <w:tcW w:w="975" w:type="dxa"/>
            <w:tcBorders>
              <w:top w:val="nil"/>
              <w:left w:val="nil"/>
              <w:bottom w:val="single" w:sz="12"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w:t>
            </w:r>
          </w:p>
        </w:tc>
        <w:tc>
          <w:tcPr>
            <w:tcW w:w="726" w:type="dxa"/>
            <w:tcBorders>
              <w:top w:val="nil"/>
              <w:left w:val="nil"/>
              <w:bottom w:val="single" w:sz="12"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851" w:type="dxa"/>
            <w:tcBorders>
              <w:top w:val="nil"/>
              <w:left w:val="nil"/>
              <w:bottom w:val="single" w:sz="12"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E854E4" w:rsidRPr="00D13A2A" w:rsidTr="00B84A77">
        <w:trPr>
          <w:trHeight w:val="170"/>
        </w:trPr>
        <w:tc>
          <w:tcPr>
            <w:tcW w:w="2939" w:type="dxa"/>
            <w:tcBorders>
              <w:top w:val="single" w:sz="12" w:space="0" w:color="auto"/>
              <w:left w:val="single" w:sz="12" w:space="0" w:color="auto"/>
              <w:bottom w:val="single" w:sz="4"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FI Caixa Brasil Referenciado DI Longo Prazo</w:t>
            </w:r>
          </w:p>
        </w:tc>
        <w:tc>
          <w:tcPr>
            <w:tcW w:w="1612" w:type="dxa"/>
            <w:tcBorders>
              <w:top w:val="single" w:sz="12" w:space="0" w:color="auto"/>
              <w:left w:val="nil"/>
              <w:bottom w:val="single" w:sz="4" w:space="0" w:color="auto"/>
              <w:right w:val="nil"/>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IV</w:t>
            </w:r>
          </w:p>
        </w:tc>
        <w:tc>
          <w:tcPr>
            <w:tcW w:w="1134" w:type="dxa"/>
            <w:tcBorders>
              <w:top w:val="single" w:sz="12" w:space="0" w:color="auto"/>
              <w:left w:val="single" w:sz="4" w:space="0" w:color="auto"/>
              <w:bottom w:val="single" w:sz="4"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29.953.795,47 </w:t>
            </w:r>
          </w:p>
        </w:tc>
        <w:tc>
          <w:tcPr>
            <w:tcW w:w="975" w:type="dxa"/>
            <w:vMerge w:val="restart"/>
            <w:tcBorders>
              <w:top w:val="single" w:sz="12" w:space="0" w:color="auto"/>
              <w:left w:val="single" w:sz="4" w:space="0" w:color="auto"/>
              <w:bottom w:val="single" w:sz="8" w:space="0" w:color="000000"/>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37.305.230,78</w:t>
            </w:r>
          </w:p>
        </w:tc>
        <w:tc>
          <w:tcPr>
            <w:tcW w:w="726" w:type="dxa"/>
            <w:vMerge w:val="restart"/>
            <w:tcBorders>
              <w:top w:val="single" w:sz="12" w:space="0" w:color="auto"/>
              <w:left w:val="single" w:sz="4" w:space="0" w:color="auto"/>
              <w:bottom w:val="single" w:sz="8" w:space="0" w:color="000000"/>
              <w:right w:val="single" w:sz="4" w:space="0" w:color="auto"/>
            </w:tcBorders>
            <w:shd w:val="clear" w:color="000000" w:fill="FFFFCC"/>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9,00%</w:t>
            </w:r>
          </w:p>
        </w:tc>
        <w:tc>
          <w:tcPr>
            <w:tcW w:w="851" w:type="dxa"/>
            <w:vMerge w:val="restart"/>
            <w:tcBorders>
              <w:top w:val="single" w:sz="12" w:space="0" w:color="auto"/>
              <w:left w:val="single" w:sz="4" w:space="0" w:color="auto"/>
              <w:bottom w:val="single" w:sz="8" w:space="0" w:color="000000"/>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30,00%</w:t>
            </w:r>
          </w:p>
        </w:tc>
        <w:tc>
          <w:tcPr>
            <w:tcW w:w="709" w:type="dxa"/>
            <w:vMerge w:val="restart"/>
            <w:tcBorders>
              <w:top w:val="single" w:sz="12" w:space="0" w:color="auto"/>
              <w:left w:val="single" w:sz="4" w:space="0" w:color="auto"/>
              <w:bottom w:val="single" w:sz="12" w:space="0" w:color="auto"/>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30,00%</w:t>
            </w:r>
          </w:p>
        </w:tc>
      </w:tr>
      <w:tr w:rsidR="00D13A2A" w:rsidRPr="00D13A2A" w:rsidTr="00B84A77">
        <w:trPr>
          <w:trHeight w:val="170"/>
        </w:trPr>
        <w:tc>
          <w:tcPr>
            <w:tcW w:w="2939" w:type="dxa"/>
            <w:tcBorders>
              <w:top w:val="nil"/>
              <w:left w:val="single" w:sz="12" w:space="0" w:color="auto"/>
              <w:bottom w:val="nil"/>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BB RPPS Renda Fixa Fluxo FIC</w:t>
            </w:r>
          </w:p>
        </w:tc>
        <w:tc>
          <w:tcPr>
            <w:tcW w:w="1612" w:type="dxa"/>
            <w:tcBorders>
              <w:top w:val="nil"/>
              <w:left w:val="nil"/>
              <w:bottom w:val="nil"/>
              <w:right w:val="nil"/>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IV</w:t>
            </w:r>
          </w:p>
        </w:tc>
        <w:tc>
          <w:tcPr>
            <w:tcW w:w="1134" w:type="dxa"/>
            <w:tcBorders>
              <w:top w:val="nil"/>
              <w:left w:val="single" w:sz="4" w:space="0" w:color="auto"/>
              <w:bottom w:val="nil"/>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131.148,31 </w:t>
            </w:r>
          </w:p>
        </w:tc>
        <w:tc>
          <w:tcPr>
            <w:tcW w:w="975" w:type="dxa"/>
            <w:vMerge/>
            <w:tcBorders>
              <w:top w:val="single" w:sz="12" w:space="0" w:color="auto"/>
              <w:left w:val="single" w:sz="4" w:space="0" w:color="auto"/>
              <w:bottom w:val="single" w:sz="8" w:space="0" w:color="000000"/>
              <w:right w:val="single" w:sz="4" w:space="0" w:color="auto"/>
            </w:tcBorders>
            <w:vAlign w:val="center"/>
            <w:hideMark/>
          </w:tcPr>
          <w:p w:rsidR="00D13A2A" w:rsidRPr="00D13A2A" w:rsidRDefault="00D13A2A" w:rsidP="00D13A2A">
            <w:pPr>
              <w:rPr>
                <w:rFonts w:ascii="Arial" w:hAnsi="Arial" w:cs="Arial"/>
                <w:sz w:val="12"/>
                <w:szCs w:val="12"/>
              </w:rPr>
            </w:pPr>
          </w:p>
        </w:tc>
        <w:tc>
          <w:tcPr>
            <w:tcW w:w="726" w:type="dxa"/>
            <w:vMerge/>
            <w:tcBorders>
              <w:top w:val="single" w:sz="12" w:space="0" w:color="auto"/>
              <w:left w:val="single" w:sz="4" w:space="0" w:color="auto"/>
              <w:bottom w:val="single" w:sz="8" w:space="0" w:color="000000"/>
              <w:right w:val="single" w:sz="4" w:space="0" w:color="auto"/>
            </w:tcBorders>
            <w:vAlign w:val="center"/>
            <w:hideMark/>
          </w:tcPr>
          <w:p w:rsidR="00D13A2A" w:rsidRPr="00D13A2A" w:rsidRDefault="00D13A2A" w:rsidP="00D13A2A">
            <w:pPr>
              <w:rPr>
                <w:rFonts w:ascii="Arial" w:hAnsi="Arial" w:cs="Arial"/>
                <w:sz w:val="12"/>
                <w:szCs w:val="12"/>
              </w:rPr>
            </w:pPr>
          </w:p>
        </w:tc>
        <w:tc>
          <w:tcPr>
            <w:tcW w:w="851" w:type="dxa"/>
            <w:vMerge/>
            <w:tcBorders>
              <w:top w:val="single" w:sz="12" w:space="0" w:color="auto"/>
              <w:left w:val="single" w:sz="4" w:space="0" w:color="auto"/>
              <w:bottom w:val="single" w:sz="8" w:space="0" w:color="000000"/>
              <w:right w:val="single" w:sz="4" w:space="0" w:color="auto"/>
            </w:tcBorders>
            <w:vAlign w:val="center"/>
            <w:hideMark/>
          </w:tcPr>
          <w:p w:rsidR="00D13A2A" w:rsidRPr="00D13A2A" w:rsidRDefault="00D13A2A" w:rsidP="00D13A2A">
            <w:pPr>
              <w:rPr>
                <w:rFonts w:ascii="Arial" w:hAnsi="Arial" w:cs="Arial"/>
                <w:sz w:val="12"/>
                <w:szCs w:val="12"/>
              </w:rPr>
            </w:pPr>
          </w:p>
        </w:tc>
        <w:tc>
          <w:tcPr>
            <w:tcW w:w="709" w:type="dxa"/>
            <w:vMerge/>
            <w:tcBorders>
              <w:top w:val="single" w:sz="12" w:space="0" w:color="auto"/>
              <w:left w:val="single" w:sz="4" w:space="0" w:color="auto"/>
              <w:bottom w:val="single" w:sz="12" w:space="0" w:color="auto"/>
              <w:right w:val="single" w:sz="12" w:space="0" w:color="auto"/>
            </w:tcBorders>
            <w:vAlign w:val="center"/>
            <w:hideMark/>
          </w:tcPr>
          <w:p w:rsidR="00D13A2A" w:rsidRPr="00D13A2A" w:rsidRDefault="00D13A2A" w:rsidP="00D13A2A">
            <w:pPr>
              <w:rPr>
                <w:rFonts w:ascii="Arial" w:hAnsi="Arial" w:cs="Arial"/>
                <w:sz w:val="12"/>
                <w:szCs w:val="12"/>
              </w:rPr>
            </w:pPr>
          </w:p>
        </w:tc>
      </w:tr>
      <w:tr w:rsidR="00D13A2A" w:rsidRPr="00D13A2A" w:rsidTr="00B84A77">
        <w:trPr>
          <w:trHeight w:val="170"/>
        </w:trPr>
        <w:tc>
          <w:tcPr>
            <w:tcW w:w="2939" w:type="dxa"/>
            <w:tcBorders>
              <w:top w:val="single" w:sz="4" w:space="0" w:color="auto"/>
              <w:left w:val="single" w:sz="12" w:space="0" w:color="auto"/>
              <w:bottom w:val="single" w:sz="12" w:space="0" w:color="auto"/>
              <w:right w:val="single" w:sz="4" w:space="0" w:color="auto"/>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BB Previdenciário Renda Fixa Perfil</w:t>
            </w:r>
          </w:p>
        </w:tc>
        <w:tc>
          <w:tcPr>
            <w:tcW w:w="1612" w:type="dxa"/>
            <w:tcBorders>
              <w:top w:val="single" w:sz="4" w:space="0" w:color="auto"/>
              <w:left w:val="nil"/>
              <w:bottom w:val="single" w:sz="12" w:space="0" w:color="auto"/>
              <w:right w:val="nil"/>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IV</w:t>
            </w:r>
          </w:p>
        </w:tc>
        <w:tc>
          <w:tcPr>
            <w:tcW w:w="1134" w:type="dxa"/>
            <w:tcBorders>
              <w:top w:val="single" w:sz="4" w:space="0" w:color="auto"/>
              <w:left w:val="single" w:sz="4" w:space="0" w:color="auto"/>
              <w:bottom w:val="single" w:sz="12"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7.220.287,00 </w:t>
            </w:r>
          </w:p>
        </w:tc>
        <w:tc>
          <w:tcPr>
            <w:tcW w:w="975" w:type="dxa"/>
            <w:vMerge/>
            <w:tcBorders>
              <w:top w:val="single" w:sz="12" w:space="0" w:color="auto"/>
              <w:left w:val="single" w:sz="4" w:space="0" w:color="auto"/>
              <w:bottom w:val="single" w:sz="12" w:space="0" w:color="auto"/>
              <w:right w:val="single" w:sz="4" w:space="0" w:color="auto"/>
            </w:tcBorders>
            <w:vAlign w:val="center"/>
            <w:hideMark/>
          </w:tcPr>
          <w:p w:rsidR="00D13A2A" w:rsidRPr="00D13A2A" w:rsidRDefault="00D13A2A" w:rsidP="00D13A2A">
            <w:pPr>
              <w:rPr>
                <w:rFonts w:ascii="Arial" w:hAnsi="Arial" w:cs="Arial"/>
                <w:sz w:val="12"/>
                <w:szCs w:val="12"/>
              </w:rPr>
            </w:pPr>
          </w:p>
        </w:tc>
        <w:tc>
          <w:tcPr>
            <w:tcW w:w="726" w:type="dxa"/>
            <w:vMerge/>
            <w:tcBorders>
              <w:top w:val="single" w:sz="12" w:space="0" w:color="auto"/>
              <w:left w:val="single" w:sz="4" w:space="0" w:color="auto"/>
              <w:bottom w:val="single" w:sz="12" w:space="0" w:color="auto"/>
              <w:right w:val="single" w:sz="4" w:space="0" w:color="auto"/>
            </w:tcBorders>
            <w:vAlign w:val="center"/>
            <w:hideMark/>
          </w:tcPr>
          <w:p w:rsidR="00D13A2A" w:rsidRPr="00D13A2A" w:rsidRDefault="00D13A2A" w:rsidP="00D13A2A">
            <w:pPr>
              <w:rPr>
                <w:rFonts w:ascii="Arial" w:hAnsi="Arial" w:cs="Arial"/>
                <w:sz w:val="12"/>
                <w:szCs w:val="12"/>
              </w:rPr>
            </w:pPr>
          </w:p>
        </w:tc>
        <w:tc>
          <w:tcPr>
            <w:tcW w:w="851" w:type="dxa"/>
            <w:vMerge/>
            <w:tcBorders>
              <w:top w:val="single" w:sz="12" w:space="0" w:color="auto"/>
              <w:left w:val="single" w:sz="4" w:space="0" w:color="auto"/>
              <w:bottom w:val="single" w:sz="12" w:space="0" w:color="auto"/>
              <w:right w:val="single" w:sz="4" w:space="0" w:color="auto"/>
            </w:tcBorders>
            <w:vAlign w:val="center"/>
            <w:hideMark/>
          </w:tcPr>
          <w:p w:rsidR="00D13A2A" w:rsidRPr="00D13A2A" w:rsidRDefault="00D13A2A" w:rsidP="00D13A2A">
            <w:pPr>
              <w:rPr>
                <w:rFonts w:ascii="Arial" w:hAnsi="Arial" w:cs="Arial"/>
                <w:sz w:val="12"/>
                <w:szCs w:val="12"/>
              </w:rPr>
            </w:pPr>
          </w:p>
        </w:tc>
        <w:tc>
          <w:tcPr>
            <w:tcW w:w="709" w:type="dxa"/>
            <w:vMerge/>
            <w:tcBorders>
              <w:top w:val="single" w:sz="12" w:space="0" w:color="auto"/>
              <w:left w:val="single" w:sz="4" w:space="0" w:color="auto"/>
              <w:bottom w:val="single" w:sz="12" w:space="0" w:color="auto"/>
              <w:right w:val="single" w:sz="12" w:space="0" w:color="auto"/>
            </w:tcBorders>
            <w:vAlign w:val="center"/>
            <w:hideMark/>
          </w:tcPr>
          <w:p w:rsidR="00D13A2A" w:rsidRPr="00D13A2A" w:rsidRDefault="00D13A2A" w:rsidP="00D13A2A">
            <w:pPr>
              <w:rPr>
                <w:rFonts w:ascii="Arial" w:hAnsi="Arial" w:cs="Arial"/>
                <w:sz w:val="12"/>
                <w:szCs w:val="12"/>
              </w:rPr>
            </w:pPr>
          </w:p>
        </w:tc>
      </w:tr>
      <w:tr w:rsidR="00E854E4" w:rsidRPr="00D13A2A" w:rsidTr="00123BEC">
        <w:trPr>
          <w:trHeight w:val="170"/>
        </w:trPr>
        <w:tc>
          <w:tcPr>
            <w:tcW w:w="2939" w:type="dxa"/>
            <w:tcBorders>
              <w:top w:val="single" w:sz="12" w:space="0" w:color="auto"/>
              <w:left w:val="single" w:sz="12" w:space="0" w:color="auto"/>
              <w:bottom w:val="single" w:sz="12" w:space="0" w:color="auto"/>
              <w:right w:val="nil"/>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FI Caixa Brasil IPCA XV Renda Fixa Crédito Privado</w:t>
            </w:r>
          </w:p>
        </w:tc>
        <w:tc>
          <w:tcPr>
            <w:tcW w:w="1612" w:type="dxa"/>
            <w:tcBorders>
              <w:top w:val="single" w:sz="12" w:space="0" w:color="auto"/>
              <w:left w:val="single" w:sz="4" w:space="0" w:color="auto"/>
              <w:bottom w:val="single" w:sz="12" w:space="0" w:color="auto"/>
              <w:right w:val="nil"/>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7º, Inciso VII</w:t>
            </w:r>
          </w:p>
        </w:tc>
        <w:tc>
          <w:tcPr>
            <w:tcW w:w="1134" w:type="dxa"/>
            <w:tcBorders>
              <w:top w:val="single" w:sz="12" w:space="0" w:color="auto"/>
              <w:left w:val="single" w:sz="4" w:space="0" w:color="auto"/>
              <w:bottom w:val="single" w:sz="12"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6.421.506,83 </w:t>
            </w:r>
          </w:p>
        </w:tc>
        <w:tc>
          <w:tcPr>
            <w:tcW w:w="975" w:type="dxa"/>
            <w:tcBorders>
              <w:top w:val="single" w:sz="12" w:space="0" w:color="auto"/>
              <w:left w:val="nil"/>
              <w:bottom w:val="single" w:sz="12" w:space="0" w:color="auto"/>
              <w:right w:val="single" w:sz="4" w:space="0" w:color="auto"/>
            </w:tcBorders>
            <w:shd w:val="clear" w:color="000000" w:fill="FFFFCC"/>
            <w:noWrap/>
            <w:vAlign w:val="center"/>
            <w:hideMark/>
          </w:tcPr>
          <w:p w:rsidR="00D13A2A" w:rsidRPr="00D13A2A" w:rsidRDefault="00D13A2A" w:rsidP="00461BE6">
            <w:pPr>
              <w:jc w:val="right"/>
              <w:rPr>
                <w:rFonts w:ascii="Arial" w:hAnsi="Arial" w:cs="Arial"/>
                <w:sz w:val="12"/>
                <w:szCs w:val="12"/>
              </w:rPr>
            </w:pPr>
            <w:r w:rsidRPr="00D13A2A">
              <w:rPr>
                <w:rFonts w:ascii="Arial" w:hAnsi="Arial" w:cs="Arial"/>
                <w:sz w:val="12"/>
                <w:szCs w:val="12"/>
              </w:rPr>
              <w:t xml:space="preserve">6.421.506,83 </w:t>
            </w:r>
          </w:p>
        </w:tc>
        <w:tc>
          <w:tcPr>
            <w:tcW w:w="726" w:type="dxa"/>
            <w:tcBorders>
              <w:top w:val="single" w:sz="12" w:space="0" w:color="auto"/>
              <w:left w:val="nil"/>
              <w:bottom w:val="single" w:sz="12" w:space="0" w:color="auto"/>
              <w:right w:val="single" w:sz="4" w:space="0" w:color="auto"/>
            </w:tcBorders>
            <w:shd w:val="clear" w:color="000000" w:fill="FFFFCC"/>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1,55%</w:t>
            </w:r>
          </w:p>
        </w:tc>
        <w:tc>
          <w:tcPr>
            <w:tcW w:w="851" w:type="dxa"/>
            <w:tcBorders>
              <w:top w:val="single" w:sz="12" w:space="0" w:color="auto"/>
              <w:left w:val="nil"/>
              <w:bottom w:val="single" w:sz="12"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5,00%</w:t>
            </w:r>
          </w:p>
        </w:tc>
        <w:tc>
          <w:tcPr>
            <w:tcW w:w="709" w:type="dxa"/>
            <w:tcBorders>
              <w:top w:val="single" w:sz="12" w:space="0" w:color="auto"/>
              <w:left w:val="nil"/>
              <w:bottom w:val="single" w:sz="12" w:space="0" w:color="auto"/>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5,00%</w:t>
            </w:r>
          </w:p>
        </w:tc>
      </w:tr>
      <w:tr w:rsidR="00E854E4" w:rsidRPr="00D13A2A" w:rsidTr="00123BEC">
        <w:trPr>
          <w:trHeight w:val="170"/>
        </w:trPr>
        <w:tc>
          <w:tcPr>
            <w:tcW w:w="2939" w:type="dxa"/>
            <w:tcBorders>
              <w:top w:val="single" w:sz="12" w:space="0" w:color="auto"/>
              <w:left w:val="single" w:sz="12" w:space="0" w:color="auto"/>
              <w:bottom w:val="single" w:sz="12" w:space="0" w:color="auto"/>
              <w:right w:val="nil"/>
            </w:tcBorders>
            <w:shd w:val="clear" w:color="000000" w:fill="FF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BB Previdenciário Renda Fixa IPCA III</w:t>
            </w:r>
          </w:p>
        </w:tc>
        <w:tc>
          <w:tcPr>
            <w:tcW w:w="1612" w:type="dxa"/>
            <w:tcBorders>
              <w:top w:val="single" w:sz="12" w:space="0" w:color="auto"/>
              <w:left w:val="single" w:sz="4" w:space="0" w:color="auto"/>
              <w:bottom w:val="single" w:sz="12" w:space="0" w:color="auto"/>
              <w:right w:val="nil"/>
            </w:tcBorders>
            <w:shd w:val="clear" w:color="000000" w:fill="FFFFCC"/>
            <w:noWrap/>
            <w:vAlign w:val="center"/>
            <w:hideMark/>
          </w:tcPr>
          <w:p w:rsidR="00D13A2A" w:rsidRPr="00D13A2A" w:rsidRDefault="00D13A2A" w:rsidP="00461BE6">
            <w:pPr>
              <w:jc w:val="center"/>
              <w:rPr>
                <w:rFonts w:ascii="Arial" w:hAnsi="Arial" w:cs="Arial"/>
                <w:sz w:val="12"/>
                <w:szCs w:val="12"/>
              </w:rPr>
            </w:pPr>
            <w:r w:rsidRPr="00D13A2A">
              <w:rPr>
                <w:rFonts w:ascii="Arial" w:hAnsi="Arial" w:cs="Arial"/>
                <w:sz w:val="12"/>
                <w:szCs w:val="12"/>
              </w:rPr>
              <w:t>Art. 7º, Inciso VII, al</w:t>
            </w:r>
            <w:r w:rsidR="00461BE6">
              <w:rPr>
                <w:rFonts w:ascii="Arial" w:hAnsi="Arial" w:cs="Arial"/>
                <w:sz w:val="12"/>
                <w:szCs w:val="12"/>
              </w:rPr>
              <w:t>í</w:t>
            </w:r>
            <w:r w:rsidRPr="00D13A2A">
              <w:rPr>
                <w:rFonts w:ascii="Arial" w:hAnsi="Arial" w:cs="Arial"/>
                <w:sz w:val="12"/>
                <w:szCs w:val="12"/>
              </w:rPr>
              <w:t>nea "b"</w:t>
            </w:r>
          </w:p>
        </w:tc>
        <w:tc>
          <w:tcPr>
            <w:tcW w:w="1134" w:type="dxa"/>
            <w:tcBorders>
              <w:top w:val="single" w:sz="12" w:space="0" w:color="auto"/>
              <w:left w:val="single" w:sz="4" w:space="0" w:color="auto"/>
              <w:bottom w:val="single" w:sz="12" w:space="0" w:color="auto"/>
              <w:right w:val="single" w:sz="4" w:space="0" w:color="auto"/>
            </w:tcBorders>
            <w:shd w:val="clear" w:color="000000" w:fill="FF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5.159.420,25 </w:t>
            </w:r>
          </w:p>
        </w:tc>
        <w:tc>
          <w:tcPr>
            <w:tcW w:w="975" w:type="dxa"/>
            <w:tcBorders>
              <w:top w:val="single" w:sz="12" w:space="0" w:color="auto"/>
              <w:left w:val="nil"/>
              <w:bottom w:val="single" w:sz="12" w:space="0" w:color="auto"/>
              <w:right w:val="single" w:sz="4" w:space="0" w:color="auto"/>
            </w:tcBorders>
            <w:shd w:val="clear" w:color="000000" w:fill="FFFFCC"/>
            <w:noWrap/>
            <w:vAlign w:val="center"/>
            <w:hideMark/>
          </w:tcPr>
          <w:p w:rsidR="00D13A2A" w:rsidRPr="00D13A2A" w:rsidRDefault="00D13A2A" w:rsidP="00461BE6">
            <w:pPr>
              <w:jc w:val="right"/>
              <w:rPr>
                <w:rFonts w:ascii="Arial" w:hAnsi="Arial" w:cs="Arial"/>
                <w:sz w:val="12"/>
                <w:szCs w:val="12"/>
              </w:rPr>
            </w:pPr>
            <w:r w:rsidRPr="00D13A2A">
              <w:rPr>
                <w:rFonts w:ascii="Arial" w:hAnsi="Arial" w:cs="Arial"/>
                <w:sz w:val="12"/>
                <w:szCs w:val="12"/>
              </w:rPr>
              <w:t xml:space="preserve">5.159.420,25 </w:t>
            </w:r>
          </w:p>
        </w:tc>
        <w:tc>
          <w:tcPr>
            <w:tcW w:w="726" w:type="dxa"/>
            <w:tcBorders>
              <w:top w:val="single" w:sz="12" w:space="0" w:color="auto"/>
              <w:left w:val="nil"/>
              <w:bottom w:val="single" w:sz="12" w:space="0" w:color="auto"/>
              <w:right w:val="single" w:sz="4" w:space="0" w:color="auto"/>
            </w:tcBorders>
            <w:shd w:val="clear" w:color="000000" w:fill="FFFFCC"/>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1,24%</w:t>
            </w:r>
          </w:p>
        </w:tc>
        <w:tc>
          <w:tcPr>
            <w:tcW w:w="851" w:type="dxa"/>
            <w:tcBorders>
              <w:top w:val="single" w:sz="12" w:space="0" w:color="auto"/>
              <w:left w:val="nil"/>
              <w:bottom w:val="single" w:sz="12" w:space="0" w:color="auto"/>
              <w:right w:val="single" w:sz="4"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5,00%</w:t>
            </w:r>
          </w:p>
        </w:tc>
        <w:tc>
          <w:tcPr>
            <w:tcW w:w="709" w:type="dxa"/>
            <w:tcBorders>
              <w:top w:val="single" w:sz="12" w:space="0" w:color="auto"/>
              <w:left w:val="nil"/>
              <w:bottom w:val="single" w:sz="12" w:space="0" w:color="auto"/>
              <w:right w:val="single" w:sz="12" w:space="0" w:color="auto"/>
            </w:tcBorders>
            <w:shd w:val="clear" w:color="000000" w:fill="FF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5,00%</w:t>
            </w:r>
          </w:p>
        </w:tc>
      </w:tr>
      <w:tr w:rsidR="00E854E4" w:rsidRPr="00D13A2A" w:rsidTr="00B84A77">
        <w:trPr>
          <w:trHeight w:val="170"/>
        </w:trPr>
        <w:tc>
          <w:tcPr>
            <w:tcW w:w="2939" w:type="dxa"/>
            <w:tcBorders>
              <w:top w:val="single" w:sz="12" w:space="0" w:color="auto"/>
              <w:left w:val="single" w:sz="12" w:space="0" w:color="auto"/>
              <w:bottom w:val="single" w:sz="4" w:space="0" w:color="auto"/>
              <w:right w:val="single" w:sz="4" w:space="0" w:color="auto"/>
            </w:tcBorders>
            <w:shd w:val="clear" w:color="000000" w:fill="CC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GWI Classic Fundo de Investimento em Ações</w:t>
            </w:r>
          </w:p>
        </w:tc>
        <w:tc>
          <w:tcPr>
            <w:tcW w:w="1612" w:type="dxa"/>
            <w:tcBorders>
              <w:top w:val="single" w:sz="12" w:space="0" w:color="auto"/>
              <w:left w:val="nil"/>
              <w:bottom w:val="single" w:sz="4" w:space="0" w:color="auto"/>
              <w:right w:val="nil"/>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8º, Inciso I</w:t>
            </w:r>
          </w:p>
        </w:tc>
        <w:tc>
          <w:tcPr>
            <w:tcW w:w="1134" w:type="dxa"/>
            <w:tcBorders>
              <w:top w:val="single" w:sz="12" w:space="0" w:color="auto"/>
              <w:left w:val="single" w:sz="4" w:space="0" w:color="auto"/>
              <w:bottom w:val="single" w:sz="4" w:space="0" w:color="auto"/>
              <w:right w:val="single" w:sz="4" w:space="0" w:color="auto"/>
            </w:tcBorders>
            <w:shd w:val="clear" w:color="000000" w:fill="CC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1.002.800,24 </w:t>
            </w:r>
          </w:p>
        </w:tc>
        <w:tc>
          <w:tcPr>
            <w:tcW w:w="975" w:type="dxa"/>
            <w:vMerge w:val="restart"/>
            <w:tcBorders>
              <w:top w:val="single" w:sz="12" w:space="0" w:color="auto"/>
              <w:left w:val="single" w:sz="4" w:space="0" w:color="auto"/>
              <w:bottom w:val="single" w:sz="12" w:space="0" w:color="auto"/>
              <w:right w:val="single" w:sz="4" w:space="0" w:color="auto"/>
            </w:tcBorders>
            <w:shd w:val="clear" w:color="000000" w:fill="CCFFCC"/>
            <w:noWrap/>
            <w:vAlign w:val="center"/>
            <w:hideMark/>
          </w:tcPr>
          <w:p w:rsidR="00D13A2A" w:rsidRPr="00D13A2A" w:rsidRDefault="00D13A2A" w:rsidP="00461BE6">
            <w:pPr>
              <w:jc w:val="right"/>
              <w:rPr>
                <w:rFonts w:ascii="Arial" w:hAnsi="Arial" w:cs="Arial"/>
                <w:sz w:val="12"/>
                <w:szCs w:val="12"/>
              </w:rPr>
            </w:pPr>
            <w:r w:rsidRPr="00D13A2A">
              <w:rPr>
                <w:rFonts w:ascii="Arial" w:hAnsi="Arial" w:cs="Arial"/>
                <w:sz w:val="12"/>
                <w:szCs w:val="12"/>
              </w:rPr>
              <w:t xml:space="preserve">6.500.146,15 </w:t>
            </w:r>
          </w:p>
        </w:tc>
        <w:tc>
          <w:tcPr>
            <w:tcW w:w="726" w:type="dxa"/>
            <w:vMerge w:val="restart"/>
            <w:tcBorders>
              <w:top w:val="single" w:sz="12" w:space="0" w:color="auto"/>
              <w:left w:val="single" w:sz="4" w:space="0" w:color="auto"/>
              <w:bottom w:val="single" w:sz="12" w:space="0" w:color="auto"/>
              <w:right w:val="single" w:sz="4" w:space="0" w:color="auto"/>
            </w:tcBorders>
            <w:shd w:val="clear" w:color="000000" w:fill="CCFFCC"/>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1,57%</w:t>
            </w:r>
          </w:p>
        </w:tc>
        <w:tc>
          <w:tcPr>
            <w:tcW w:w="851" w:type="dxa"/>
            <w:vMerge w:val="restart"/>
            <w:tcBorders>
              <w:top w:val="single" w:sz="12" w:space="0" w:color="auto"/>
              <w:left w:val="single" w:sz="4" w:space="0" w:color="auto"/>
              <w:bottom w:val="single" w:sz="12" w:space="0" w:color="auto"/>
              <w:right w:val="single" w:sz="4" w:space="0" w:color="auto"/>
            </w:tcBorders>
            <w:shd w:val="clear" w:color="000000" w:fill="CCFFCC"/>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3</w:t>
            </w:r>
            <w:r w:rsidR="00D13A2A" w:rsidRPr="00D13A2A">
              <w:rPr>
                <w:rFonts w:ascii="Arial" w:hAnsi="Arial" w:cs="Arial"/>
                <w:sz w:val="12"/>
                <w:szCs w:val="12"/>
              </w:rPr>
              <w:t>0,00%</w:t>
            </w:r>
          </w:p>
        </w:tc>
        <w:tc>
          <w:tcPr>
            <w:tcW w:w="709" w:type="dxa"/>
            <w:vMerge w:val="restart"/>
            <w:tcBorders>
              <w:top w:val="single" w:sz="12" w:space="0" w:color="auto"/>
              <w:left w:val="single" w:sz="4" w:space="0" w:color="auto"/>
              <w:bottom w:val="single" w:sz="12" w:space="0" w:color="auto"/>
              <w:right w:val="single" w:sz="12" w:space="0" w:color="auto"/>
            </w:tcBorders>
            <w:shd w:val="clear" w:color="000000" w:fill="CCFFCC"/>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2</w:t>
            </w:r>
            <w:r w:rsidR="00D13A2A" w:rsidRPr="00D13A2A">
              <w:rPr>
                <w:rFonts w:ascii="Arial" w:hAnsi="Arial" w:cs="Arial"/>
                <w:sz w:val="12"/>
                <w:szCs w:val="12"/>
              </w:rPr>
              <w:t>0,00%</w:t>
            </w:r>
          </w:p>
        </w:tc>
      </w:tr>
      <w:tr w:rsidR="00D13A2A" w:rsidRPr="00D13A2A" w:rsidTr="00B84A77">
        <w:trPr>
          <w:trHeight w:val="170"/>
        </w:trPr>
        <w:tc>
          <w:tcPr>
            <w:tcW w:w="2939" w:type="dxa"/>
            <w:tcBorders>
              <w:top w:val="single" w:sz="4" w:space="0" w:color="auto"/>
              <w:left w:val="single" w:sz="12" w:space="0" w:color="auto"/>
              <w:bottom w:val="single" w:sz="12" w:space="0" w:color="auto"/>
              <w:right w:val="single" w:sz="4" w:space="0" w:color="auto"/>
            </w:tcBorders>
            <w:shd w:val="clear" w:color="000000" w:fill="CC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BB Ações Cielo FI</w:t>
            </w:r>
          </w:p>
        </w:tc>
        <w:tc>
          <w:tcPr>
            <w:tcW w:w="1612" w:type="dxa"/>
            <w:tcBorders>
              <w:top w:val="single" w:sz="4" w:space="0" w:color="auto"/>
              <w:left w:val="nil"/>
              <w:bottom w:val="single" w:sz="12" w:space="0" w:color="auto"/>
              <w:right w:val="nil"/>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8º, Inciso I</w:t>
            </w:r>
          </w:p>
        </w:tc>
        <w:tc>
          <w:tcPr>
            <w:tcW w:w="1134" w:type="dxa"/>
            <w:tcBorders>
              <w:top w:val="single" w:sz="4" w:space="0" w:color="auto"/>
              <w:left w:val="single" w:sz="4" w:space="0" w:color="auto"/>
              <w:bottom w:val="single" w:sz="12" w:space="0" w:color="auto"/>
              <w:right w:val="single" w:sz="4" w:space="0" w:color="auto"/>
            </w:tcBorders>
            <w:shd w:val="clear" w:color="000000" w:fill="CC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5.497.345,91 </w:t>
            </w:r>
          </w:p>
        </w:tc>
        <w:tc>
          <w:tcPr>
            <w:tcW w:w="975" w:type="dxa"/>
            <w:vMerge/>
            <w:tcBorders>
              <w:top w:val="single" w:sz="4" w:space="0" w:color="auto"/>
              <w:left w:val="single" w:sz="4" w:space="0" w:color="auto"/>
              <w:bottom w:val="single" w:sz="12" w:space="0" w:color="auto"/>
              <w:right w:val="single" w:sz="4" w:space="0" w:color="auto"/>
            </w:tcBorders>
            <w:vAlign w:val="center"/>
            <w:hideMark/>
          </w:tcPr>
          <w:p w:rsidR="00D13A2A" w:rsidRPr="00D13A2A" w:rsidRDefault="00D13A2A" w:rsidP="00461BE6">
            <w:pPr>
              <w:jc w:val="right"/>
              <w:rPr>
                <w:rFonts w:ascii="Arial" w:hAnsi="Arial" w:cs="Arial"/>
                <w:sz w:val="12"/>
                <w:szCs w:val="12"/>
              </w:rPr>
            </w:pPr>
          </w:p>
        </w:tc>
        <w:tc>
          <w:tcPr>
            <w:tcW w:w="726" w:type="dxa"/>
            <w:vMerge/>
            <w:tcBorders>
              <w:top w:val="single" w:sz="4" w:space="0" w:color="auto"/>
              <w:left w:val="single" w:sz="4" w:space="0" w:color="auto"/>
              <w:bottom w:val="single" w:sz="12" w:space="0" w:color="auto"/>
              <w:right w:val="single" w:sz="4" w:space="0" w:color="auto"/>
            </w:tcBorders>
            <w:vAlign w:val="center"/>
            <w:hideMark/>
          </w:tcPr>
          <w:p w:rsidR="00D13A2A" w:rsidRPr="00D13A2A" w:rsidRDefault="00D13A2A" w:rsidP="00D13A2A">
            <w:pPr>
              <w:rPr>
                <w:rFonts w:ascii="Arial" w:hAnsi="Arial" w:cs="Arial"/>
                <w:sz w:val="12"/>
                <w:szCs w:val="12"/>
              </w:rPr>
            </w:pPr>
          </w:p>
        </w:tc>
        <w:tc>
          <w:tcPr>
            <w:tcW w:w="851" w:type="dxa"/>
            <w:vMerge/>
            <w:tcBorders>
              <w:top w:val="single" w:sz="4" w:space="0" w:color="auto"/>
              <w:left w:val="single" w:sz="4" w:space="0" w:color="auto"/>
              <w:bottom w:val="single" w:sz="12" w:space="0" w:color="auto"/>
              <w:right w:val="single" w:sz="4" w:space="0" w:color="auto"/>
            </w:tcBorders>
            <w:vAlign w:val="center"/>
            <w:hideMark/>
          </w:tcPr>
          <w:p w:rsidR="00D13A2A" w:rsidRPr="00D13A2A" w:rsidRDefault="00D13A2A" w:rsidP="00D13A2A">
            <w:pPr>
              <w:rPr>
                <w:rFonts w:ascii="Arial" w:hAnsi="Arial" w:cs="Arial"/>
                <w:sz w:val="12"/>
                <w:szCs w:val="12"/>
              </w:rPr>
            </w:pPr>
          </w:p>
        </w:tc>
        <w:tc>
          <w:tcPr>
            <w:tcW w:w="709" w:type="dxa"/>
            <w:vMerge/>
            <w:tcBorders>
              <w:top w:val="single" w:sz="4" w:space="0" w:color="auto"/>
              <w:left w:val="single" w:sz="4" w:space="0" w:color="auto"/>
              <w:bottom w:val="single" w:sz="12" w:space="0" w:color="auto"/>
              <w:right w:val="single" w:sz="12" w:space="0" w:color="auto"/>
            </w:tcBorders>
            <w:vAlign w:val="center"/>
            <w:hideMark/>
          </w:tcPr>
          <w:p w:rsidR="00D13A2A" w:rsidRPr="00D13A2A" w:rsidRDefault="00D13A2A" w:rsidP="00D13A2A">
            <w:pPr>
              <w:rPr>
                <w:rFonts w:ascii="Arial" w:hAnsi="Arial" w:cs="Arial"/>
                <w:sz w:val="12"/>
                <w:szCs w:val="12"/>
              </w:rPr>
            </w:pPr>
          </w:p>
        </w:tc>
      </w:tr>
      <w:tr w:rsidR="00E854E4" w:rsidRPr="00D13A2A" w:rsidTr="00B84A77">
        <w:trPr>
          <w:trHeight w:val="170"/>
        </w:trPr>
        <w:tc>
          <w:tcPr>
            <w:tcW w:w="2939" w:type="dxa"/>
            <w:tcBorders>
              <w:top w:val="single" w:sz="12" w:space="0" w:color="auto"/>
              <w:left w:val="single" w:sz="12" w:space="0" w:color="auto"/>
              <w:bottom w:val="single" w:sz="4" w:space="0" w:color="auto"/>
              <w:right w:val="single" w:sz="4" w:space="0" w:color="auto"/>
            </w:tcBorders>
            <w:shd w:val="clear" w:color="000000" w:fill="CC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Caixa FI em Ações Caixa SmallCaps Ativo</w:t>
            </w:r>
          </w:p>
        </w:tc>
        <w:tc>
          <w:tcPr>
            <w:tcW w:w="1612" w:type="dxa"/>
            <w:tcBorders>
              <w:top w:val="single" w:sz="12" w:space="0" w:color="auto"/>
              <w:left w:val="nil"/>
              <w:bottom w:val="single" w:sz="4" w:space="0" w:color="auto"/>
              <w:right w:val="single" w:sz="4"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8º, Inciso III</w:t>
            </w:r>
          </w:p>
        </w:tc>
        <w:tc>
          <w:tcPr>
            <w:tcW w:w="1134" w:type="dxa"/>
            <w:tcBorders>
              <w:top w:val="single" w:sz="12" w:space="0" w:color="auto"/>
              <w:left w:val="nil"/>
              <w:bottom w:val="single" w:sz="4" w:space="0" w:color="auto"/>
              <w:right w:val="single" w:sz="4" w:space="0" w:color="auto"/>
            </w:tcBorders>
            <w:shd w:val="clear" w:color="000000" w:fill="CC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454.874,73 </w:t>
            </w:r>
          </w:p>
        </w:tc>
        <w:tc>
          <w:tcPr>
            <w:tcW w:w="975" w:type="dxa"/>
            <w:tcBorders>
              <w:top w:val="single" w:sz="12" w:space="0" w:color="auto"/>
              <w:left w:val="nil"/>
              <w:bottom w:val="nil"/>
              <w:right w:val="single" w:sz="4" w:space="0" w:color="auto"/>
            </w:tcBorders>
            <w:shd w:val="clear" w:color="000000" w:fill="CCFFCC"/>
            <w:noWrap/>
            <w:vAlign w:val="center"/>
            <w:hideMark/>
          </w:tcPr>
          <w:p w:rsidR="00D13A2A" w:rsidRPr="00D13A2A" w:rsidRDefault="00D13A2A" w:rsidP="00461BE6">
            <w:pPr>
              <w:jc w:val="right"/>
              <w:rPr>
                <w:rFonts w:ascii="Arial" w:hAnsi="Arial" w:cs="Arial"/>
                <w:sz w:val="12"/>
                <w:szCs w:val="12"/>
              </w:rPr>
            </w:pPr>
            <w:r w:rsidRPr="00D13A2A">
              <w:rPr>
                <w:rFonts w:ascii="Arial" w:hAnsi="Arial" w:cs="Arial"/>
                <w:sz w:val="12"/>
                <w:szCs w:val="12"/>
              </w:rPr>
              <w:t> </w:t>
            </w:r>
          </w:p>
        </w:tc>
        <w:tc>
          <w:tcPr>
            <w:tcW w:w="726" w:type="dxa"/>
            <w:tcBorders>
              <w:top w:val="single" w:sz="12" w:space="0" w:color="auto"/>
              <w:left w:val="nil"/>
              <w:bottom w:val="nil"/>
              <w:right w:val="single" w:sz="4"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851" w:type="dxa"/>
            <w:tcBorders>
              <w:top w:val="single" w:sz="12" w:space="0" w:color="auto"/>
              <w:left w:val="nil"/>
              <w:bottom w:val="nil"/>
              <w:right w:val="single" w:sz="4"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single" w:sz="12" w:space="0" w:color="auto"/>
              <w:left w:val="nil"/>
              <w:bottom w:val="nil"/>
              <w:right w:val="single" w:sz="12"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E854E4" w:rsidRPr="00D13A2A" w:rsidTr="00B84A77">
        <w:trPr>
          <w:trHeight w:val="170"/>
        </w:trPr>
        <w:tc>
          <w:tcPr>
            <w:tcW w:w="2939" w:type="dxa"/>
            <w:tcBorders>
              <w:top w:val="nil"/>
              <w:left w:val="single" w:sz="12" w:space="0" w:color="auto"/>
              <w:bottom w:val="single" w:sz="4" w:space="0" w:color="auto"/>
              <w:right w:val="single" w:sz="4" w:space="0" w:color="auto"/>
            </w:tcBorders>
            <w:shd w:val="clear" w:color="000000" w:fill="CC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Bradesco FI em Ações Dividendos</w:t>
            </w:r>
          </w:p>
        </w:tc>
        <w:tc>
          <w:tcPr>
            <w:tcW w:w="1612" w:type="dxa"/>
            <w:tcBorders>
              <w:top w:val="nil"/>
              <w:left w:val="nil"/>
              <w:bottom w:val="single" w:sz="4" w:space="0" w:color="auto"/>
              <w:right w:val="single" w:sz="4"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8º, Inciso III</w:t>
            </w:r>
          </w:p>
        </w:tc>
        <w:tc>
          <w:tcPr>
            <w:tcW w:w="1134" w:type="dxa"/>
            <w:tcBorders>
              <w:top w:val="nil"/>
              <w:left w:val="nil"/>
              <w:bottom w:val="single" w:sz="4" w:space="0" w:color="auto"/>
              <w:right w:val="single" w:sz="4" w:space="0" w:color="auto"/>
            </w:tcBorders>
            <w:shd w:val="clear" w:color="000000" w:fill="CC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760.862,24 </w:t>
            </w:r>
          </w:p>
        </w:tc>
        <w:tc>
          <w:tcPr>
            <w:tcW w:w="975" w:type="dxa"/>
            <w:tcBorders>
              <w:top w:val="nil"/>
              <w:left w:val="nil"/>
              <w:bottom w:val="nil"/>
              <w:right w:val="single" w:sz="4" w:space="0" w:color="auto"/>
            </w:tcBorders>
            <w:shd w:val="clear" w:color="000000" w:fill="CCFFCC"/>
            <w:noWrap/>
            <w:vAlign w:val="center"/>
            <w:hideMark/>
          </w:tcPr>
          <w:p w:rsidR="00D13A2A" w:rsidRPr="00D13A2A" w:rsidRDefault="00D13A2A" w:rsidP="00461BE6">
            <w:pPr>
              <w:jc w:val="right"/>
              <w:rPr>
                <w:rFonts w:ascii="Arial" w:hAnsi="Arial" w:cs="Arial"/>
                <w:sz w:val="12"/>
                <w:szCs w:val="12"/>
              </w:rPr>
            </w:pPr>
            <w:r w:rsidRPr="00D13A2A">
              <w:rPr>
                <w:rFonts w:ascii="Arial" w:hAnsi="Arial" w:cs="Arial"/>
                <w:sz w:val="12"/>
                <w:szCs w:val="12"/>
              </w:rPr>
              <w:t xml:space="preserve">2.437.802,66 </w:t>
            </w:r>
          </w:p>
        </w:tc>
        <w:tc>
          <w:tcPr>
            <w:tcW w:w="726" w:type="dxa"/>
            <w:tcBorders>
              <w:top w:val="nil"/>
              <w:left w:val="nil"/>
              <w:bottom w:val="nil"/>
              <w:right w:val="single" w:sz="4" w:space="0" w:color="auto"/>
            </w:tcBorders>
            <w:shd w:val="clear" w:color="000000" w:fill="CCFFCC"/>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0,59%</w:t>
            </w:r>
          </w:p>
        </w:tc>
        <w:tc>
          <w:tcPr>
            <w:tcW w:w="851" w:type="dxa"/>
            <w:tcBorders>
              <w:top w:val="nil"/>
              <w:left w:val="nil"/>
              <w:bottom w:val="nil"/>
              <w:right w:val="single" w:sz="4"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15,00%</w:t>
            </w:r>
          </w:p>
        </w:tc>
        <w:tc>
          <w:tcPr>
            <w:tcW w:w="709" w:type="dxa"/>
            <w:tcBorders>
              <w:top w:val="nil"/>
              <w:left w:val="nil"/>
              <w:bottom w:val="nil"/>
              <w:right w:val="single" w:sz="12"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15,00%</w:t>
            </w:r>
          </w:p>
        </w:tc>
      </w:tr>
      <w:tr w:rsidR="00E854E4" w:rsidRPr="00D13A2A" w:rsidTr="00B84A77">
        <w:trPr>
          <w:trHeight w:val="170"/>
        </w:trPr>
        <w:tc>
          <w:tcPr>
            <w:tcW w:w="2939" w:type="dxa"/>
            <w:tcBorders>
              <w:top w:val="nil"/>
              <w:left w:val="single" w:sz="12" w:space="0" w:color="auto"/>
              <w:bottom w:val="nil"/>
              <w:right w:val="single" w:sz="4" w:space="0" w:color="auto"/>
            </w:tcBorders>
            <w:shd w:val="clear" w:color="000000" w:fill="CC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Bradesco FI em Ações SmallCap Plus</w:t>
            </w:r>
          </w:p>
        </w:tc>
        <w:tc>
          <w:tcPr>
            <w:tcW w:w="1612" w:type="dxa"/>
            <w:tcBorders>
              <w:top w:val="nil"/>
              <w:left w:val="nil"/>
              <w:bottom w:val="nil"/>
              <w:right w:val="single" w:sz="4"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8º, Inciso III</w:t>
            </w:r>
          </w:p>
        </w:tc>
        <w:tc>
          <w:tcPr>
            <w:tcW w:w="1134" w:type="dxa"/>
            <w:tcBorders>
              <w:top w:val="nil"/>
              <w:left w:val="nil"/>
              <w:bottom w:val="single" w:sz="4" w:space="0" w:color="auto"/>
              <w:right w:val="single" w:sz="4" w:space="0" w:color="auto"/>
            </w:tcBorders>
            <w:shd w:val="clear" w:color="000000" w:fill="CC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531.430,79 </w:t>
            </w:r>
          </w:p>
        </w:tc>
        <w:tc>
          <w:tcPr>
            <w:tcW w:w="975" w:type="dxa"/>
            <w:tcBorders>
              <w:top w:val="nil"/>
              <w:left w:val="nil"/>
              <w:bottom w:val="nil"/>
              <w:right w:val="single" w:sz="4" w:space="0" w:color="auto"/>
            </w:tcBorders>
            <w:shd w:val="clear" w:color="000000" w:fill="CCFFCC"/>
            <w:noWrap/>
            <w:vAlign w:val="center"/>
            <w:hideMark/>
          </w:tcPr>
          <w:p w:rsidR="00D13A2A" w:rsidRPr="00D13A2A" w:rsidRDefault="00D13A2A" w:rsidP="00461BE6">
            <w:pPr>
              <w:jc w:val="right"/>
              <w:rPr>
                <w:rFonts w:ascii="Arial" w:hAnsi="Arial" w:cs="Arial"/>
                <w:sz w:val="12"/>
                <w:szCs w:val="12"/>
              </w:rPr>
            </w:pPr>
            <w:r w:rsidRPr="00D13A2A">
              <w:rPr>
                <w:rFonts w:ascii="Arial" w:hAnsi="Arial" w:cs="Arial"/>
                <w:sz w:val="12"/>
                <w:szCs w:val="12"/>
              </w:rPr>
              <w:t> </w:t>
            </w:r>
          </w:p>
        </w:tc>
        <w:tc>
          <w:tcPr>
            <w:tcW w:w="726" w:type="dxa"/>
            <w:tcBorders>
              <w:top w:val="nil"/>
              <w:left w:val="nil"/>
              <w:bottom w:val="nil"/>
              <w:right w:val="single" w:sz="4"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851" w:type="dxa"/>
            <w:tcBorders>
              <w:top w:val="nil"/>
              <w:left w:val="nil"/>
              <w:bottom w:val="nil"/>
              <w:right w:val="single" w:sz="4"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nil"/>
              <w:left w:val="nil"/>
              <w:bottom w:val="nil"/>
              <w:right w:val="single" w:sz="12"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E854E4" w:rsidRPr="00D13A2A" w:rsidTr="00B84A77">
        <w:trPr>
          <w:trHeight w:val="170"/>
        </w:trPr>
        <w:tc>
          <w:tcPr>
            <w:tcW w:w="2939" w:type="dxa"/>
            <w:tcBorders>
              <w:top w:val="single" w:sz="4" w:space="0" w:color="auto"/>
              <w:left w:val="single" w:sz="12" w:space="0" w:color="auto"/>
              <w:bottom w:val="single" w:sz="12" w:space="0" w:color="auto"/>
              <w:right w:val="single" w:sz="4" w:space="0" w:color="auto"/>
            </w:tcBorders>
            <w:shd w:val="clear" w:color="000000" w:fill="CCFFCC"/>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Santander FIC FI Dividendos VIP Ações</w:t>
            </w:r>
          </w:p>
        </w:tc>
        <w:tc>
          <w:tcPr>
            <w:tcW w:w="1612" w:type="dxa"/>
            <w:tcBorders>
              <w:top w:val="single" w:sz="4" w:space="0" w:color="auto"/>
              <w:left w:val="nil"/>
              <w:bottom w:val="single" w:sz="12" w:space="0" w:color="auto"/>
              <w:right w:val="single" w:sz="4"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8º, Inciso III</w:t>
            </w:r>
          </w:p>
        </w:tc>
        <w:tc>
          <w:tcPr>
            <w:tcW w:w="1134" w:type="dxa"/>
            <w:tcBorders>
              <w:top w:val="nil"/>
              <w:left w:val="nil"/>
              <w:bottom w:val="single" w:sz="12" w:space="0" w:color="auto"/>
              <w:right w:val="single" w:sz="4" w:space="0" w:color="auto"/>
            </w:tcBorders>
            <w:shd w:val="clear" w:color="000000" w:fill="CCFFCC"/>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690.634,90 </w:t>
            </w:r>
          </w:p>
        </w:tc>
        <w:tc>
          <w:tcPr>
            <w:tcW w:w="975" w:type="dxa"/>
            <w:tcBorders>
              <w:top w:val="nil"/>
              <w:left w:val="nil"/>
              <w:bottom w:val="single" w:sz="12" w:space="0" w:color="auto"/>
              <w:right w:val="single" w:sz="4" w:space="0" w:color="auto"/>
            </w:tcBorders>
            <w:shd w:val="clear" w:color="000000" w:fill="CCFFCC"/>
            <w:noWrap/>
            <w:vAlign w:val="center"/>
            <w:hideMark/>
          </w:tcPr>
          <w:p w:rsidR="00D13A2A" w:rsidRPr="00D13A2A" w:rsidRDefault="00D13A2A" w:rsidP="00461BE6">
            <w:pPr>
              <w:jc w:val="right"/>
              <w:rPr>
                <w:rFonts w:ascii="Arial" w:hAnsi="Arial" w:cs="Arial"/>
                <w:sz w:val="12"/>
                <w:szCs w:val="12"/>
              </w:rPr>
            </w:pPr>
            <w:r w:rsidRPr="00D13A2A">
              <w:rPr>
                <w:rFonts w:ascii="Arial" w:hAnsi="Arial" w:cs="Arial"/>
                <w:sz w:val="12"/>
                <w:szCs w:val="12"/>
              </w:rPr>
              <w:t> </w:t>
            </w:r>
          </w:p>
        </w:tc>
        <w:tc>
          <w:tcPr>
            <w:tcW w:w="726" w:type="dxa"/>
            <w:tcBorders>
              <w:top w:val="nil"/>
              <w:left w:val="nil"/>
              <w:bottom w:val="single" w:sz="12" w:space="0" w:color="auto"/>
              <w:right w:val="single" w:sz="4"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851" w:type="dxa"/>
            <w:tcBorders>
              <w:top w:val="nil"/>
              <w:left w:val="nil"/>
              <w:bottom w:val="single" w:sz="12" w:space="0" w:color="auto"/>
              <w:right w:val="single" w:sz="4"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nil"/>
              <w:left w:val="nil"/>
              <w:bottom w:val="single" w:sz="12" w:space="0" w:color="auto"/>
              <w:right w:val="single" w:sz="12" w:space="0" w:color="auto"/>
            </w:tcBorders>
            <w:shd w:val="clear" w:color="000000" w:fill="CCFFCC"/>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E854E4" w:rsidRPr="00D13A2A" w:rsidTr="00DC00D2">
        <w:trPr>
          <w:trHeight w:val="170"/>
        </w:trPr>
        <w:tc>
          <w:tcPr>
            <w:tcW w:w="2939" w:type="dxa"/>
            <w:tcBorders>
              <w:top w:val="single" w:sz="12" w:space="0" w:color="auto"/>
              <w:left w:val="single" w:sz="12" w:space="0" w:color="auto"/>
              <w:bottom w:val="single" w:sz="12" w:space="0" w:color="auto"/>
              <w:right w:val="single" w:sz="4" w:space="0" w:color="auto"/>
            </w:tcBorders>
            <w:shd w:val="clear" w:color="000000" w:fill="FFCC99"/>
            <w:noWrap/>
            <w:vAlign w:val="center"/>
            <w:hideMark/>
          </w:tcPr>
          <w:p w:rsidR="00D13A2A" w:rsidRPr="00D13A2A" w:rsidRDefault="00D13A2A" w:rsidP="00D13A2A">
            <w:pPr>
              <w:rPr>
                <w:rFonts w:ascii="Arial" w:hAnsi="Arial" w:cs="Arial"/>
                <w:sz w:val="11"/>
                <w:szCs w:val="11"/>
              </w:rPr>
            </w:pPr>
            <w:r w:rsidRPr="00D13A2A">
              <w:rPr>
                <w:rFonts w:ascii="Arial" w:hAnsi="Arial" w:cs="Arial"/>
                <w:sz w:val="11"/>
                <w:szCs w:val="11"/>
              </w:rPr>
              <w:t>FI Caixa Brasil IPCA VI Multimercado Crédito Privado</w:t>
            </w:r>
          </w:p>
        </w:tc>
        <w:tc>
          <w:tcPr>
            <w:tcW w:w="1612" w:type="dxa"/>
            <w:tcBorders>
              <w:top w:val="single" w:sz="12" w:space="0" w:color="auto"/>
              <w:left w:val="nil"/>
              <w:bottom w:val="single" w:sz="12" w:space="0" w:color="auto"/>
              <w:right w:val="nil"/>
            </w:tcBorders>
            <w:shd w:val="clear" w:color="000000" w:fill="FFCC99"/>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Art. 8º, Inciso IV</w:t>
            </w:r>
          </w:p>
        </w:tc>
        <w:tc>
          <w:tcPr>
            <w:tcW w:w="1134" w:type="dxa"/>
            <w:tcBorders>
              <w:top w:val="single" w:sz="12" w:space="0" w:color="auto"/>
              <w:left w:val="single" w:sz="4" w:space="0" w:color="auto"/>
              <w:bottom w:val="single" w:sz="12" w:space="0" w:color="auto"/>
              <w:right w:val="single" w:sz="4" w:space="0" w:color="auto"/>
            </w:tcBorders>
            <w:shd w:val="clear" w:color="000000" w:fill="FFCC99"/>
            <w:noWrap/>
            <w:vAlign w:val="center"/>
            <w:hideMark/>
          </w:tcPr>
          <w:p w:rsidR="00D13A2A" w:rsidRPr="00D13A2A" w:rsidRDefault="00D13A2A" w:rsidP="00D13A2A">
            <w:pPr>
              <w:jc w:val="right"/>
              <w:rPr>
                <w:rFonts w:ascii="Arial" w:hAnsi="Arial" w:cs="Arial"/>
                <w:sz w:val="12"/>
                <w:szCs w:val="12"/>
              </w:rPr>
            </w:pPr>
            <w:r w:rsidRPr="00D13A2A">
              <w:rPr>
                <w:rFonts w:ascii="Arial" w:hAnsi="Arial" w:cs="Arial"/>
                <w:sz w:val="12"/>
                <w:szCs w:val="12"/>
              </w:rPr>
              <w:t xml:space="preserve">6.321.840,51 </w:t>
            </w:r>
          </w:p>
        </w:tc>
        <w:tc>
          <w:tcPr>
            <w:tcW w:w="975" w:type="dxa"/>
            <w:tcBorders>
              <w:top w:val="single" w:sz="12" w:space="0" w:color="auto"/>
              <w:left w:val="nil"/>
              <w:bottom w:val="single" w:sz="12" w:space="0" w:color="auto"/>
              <w:right w:val="single" w:sz="4" w:space="0" w:color="auto"/>
            </w:tcBorders>
            <w:shd w:val="clear" w:color="000000" w:fill="FFCC99"/>
            <w:noWrap/>
            <w:vAlign w:val="center"/>
            <w:hideMark/>
          </w:tcPr>
          <w:p w:rsidR="00D13A2A" w:rsidRPr="00D13A2A" w:rsidRDefault="00D13A2A" w:rsidP="00461BE6">
            <w:pPr>
              <w:jc w:val="right"/>
              <w:rPr>
                <w:rFonts w:ascii="Arial" w:hAnsi="Arial" w:cs="Arial"/>
                <w:sz w:val="12"/>
                <w:szCs w:val="12"/>
              </w:rPr>
            </w:pPr>
            <w:r w:rsidRPr="00D13A2A">
              <w:rPr>
                <w:rFonts w:ascii="Arial" w:hAnsi="Arial" w:cs="Arial"/>
                <w:sz w:val="12"/>
                <w:szCs w:val="12"/>
              </w:rPr>
              <w:t xml:space="preserve">6.321.840,51 </w:t>
            </w:r>
          </w:p>
        </w:tc>
        <w:tc>
          <w:tcPr>
            <w:tcW w:w="726" w:type="dxa"/>
            <w:tcBorders>
              <w:top w:val="single" w:sz="12" w:space="0" w:color="auto"/>
              <w:left w:val="nil"/>
              <w:bottom w:val="single" w:sz="12" w:space="0" w:color="auto"/>
              <w:right w:val="single" w:sz="4" w:space="0" w:color="auto"/>
            </w:tcBorders>
            <w:shd w:val="clear" w:color="000000" w:fill="FFCC99"/>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1,52%</w:t>
            </w:r>
          </w:p>
        </w:tc>
        <w:tc>
          <w:tcPr>
            <w:tcW w:w="851" w:type="dxa"/>
            <w:tcBorders>
              <w:top w:val="single" w:sz="12" w:space="0" w:color="auto"/>
              <w:left w:val="nil"/>
              <w:bottom w:val="single" w:sz="12" w:space="0" w:color="auto"/>
              <w:right w:val="single" w:sz="4" w:space="0" w:color="auto"/>
            </w:tcBorders>
            <w:shd w:val="clear" w:color="000000" w:fill="FFCC99"/>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5,00%</w:t>
            </w:r>
          </w:p>
        </w:tc>
        <w:tc>
          <w:tcPr>
            <w:tcW w:w="709" w:type="dxa"/>
            <w:tcBorders>
              <w:top w:val="single" w:sz="12" w:space="0" w:color="auto"/>
              <w:left w:val="nil"/>
              <w:bottom w:val="single" w:sz="12" w:space="0" w:color="auto"/>
              <w:right w:val="single" w:sz="12" w:space="0" w:color="auto"/>
            </w:tcBorders>
            <w:shd w:val="clear" w:color="000000" w:fill="FFCC99"/>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5,00%</w:t>
            </w:r>
          </w:p>
        </w:tc>
      </w:tr>
      <w:tr w:rsidR="00D13A2A" w:rsidRPr="00D13A2A" w:rsidTr="00DC00D2">
        <w:trPr>
          <w:trHeight w:val="170"/>
        </w:trPr>
        <w:tc>
          <w:tcPr>
            <w:tcW w:w="5685" w:type="dxa"/>
            <w:gridSpan w:val="3"/>
            <w:tcBorders>
              <w:top w:val="single" w:sz="12" w:space="0" w:color="auto"/>
              <w:left w:val="single" w:sz="12" w:space="0" w:color="auto"/>
              <w:bottom w:val="single" w:sz="12" w:space="0" w:color="auto"/>
              <w:right w:val="nil"/>
            </w:tcBorders>
            <w:shd w:val="clear" w:color="auto" w:fill="D99594" w:themeFill="accent2" w:themeFillTint="99"/>
            <w:noWrap/>
            <w:vAlign w:val="center"/>
            <w:hideMark/>
          </w:tcPr>
          <w:p w:rsidR="00D13A2A" w:rsidRPr="00D13A2A" w:rsidRDefault="00D13A2A" w:rsidP="00D13A2A">
            <w:pPr>
              <w:rPr>
                <w:rFonts w:ascii="Arial" w:hAnsi="Arial" w:cs="Arial"/>
                <w:b/>
                <w:bCs/>
                <w:sz w:val="12"/>
                <w:szCs w:val="12"/>
              </w:rPr>
            </w:pPr>
            <w:r w:rsidRPr="00D13A2A">
              <w:rPr>
                <w:rFonts w:ascii="Arial" w:hAnsi="Arial" w:cs="Arial"/>
                <w:b/>
                <w:bCs/>
                <w:sz w:val="12"/>
                <w:szCs w:val="12"/>
              </w:rPr>
              <w:t>DISPONIBILIDADE EM CONTAS CORRENTES EM 31/10/2014</w:t>
            </w:r>
          </w:p>
        </w:tc>
        <w:tc>
          <w:tcPr>
            <w:tcW w:w="975" w:type="dxa"/>
            <w:tcBorders>
              <w:top w:val="single" w:sz="12" w:space="0" w:color="auto"/>
              <w:left w:val="single" w:sz="4" w:space="0" w:color="auto"/>
              <w:bottom w:val="single" w:sz="12" w:space="0" w:color="auto"/>
              <w:right w:val="single" w:sz="4" w:space="0" w:color="auto"/>
            </w:tcBorders>
            <w:shd w:val="clear" w:color="auto" w:fill="D99594" w:themeFill="accent2" w:themeFillTint="99"/>
            <w:noWrap/>
            <w:vAlign w:val="center"/>
            <w:hideMark/>
          </w:tcPr>
          <w:p w:rsidR="00D13A2A" w:rsidRPr="00D13A2A" w:rsidRDefault="00DC00D2" w:rsidP="00461BE6">
            <w:pPr>
              <w:jc w:val="right"/>
              <w:rPr>
                <w:rFonts w:ascii="Arial" w:hAnsi="Arial" w:cs="Arial"/>
                <w:sz w:val="12"/>
                <w:szCs w:val="12"/>
              </w:rPr>
            </w:pPr>
            <w:r>
              <w:rPr>
                <w:rFonts w:ascii="Arial" w:hAnsi="Arial" w:cs="Arial"/>
                <w:sz w:val="12"/>
                <w:szCs w:val="12"/>
              </w:rPr>
              <w:t>8.641,68</w:t>
            </w:r>
          </w:p>
        </w:tc>
        <w:tc>
          <w:tcPr>
            <w:tcW w:w="726" w:type="dxa"/>
            <w:tcBorders>
              <w:top w:val="single" w:sz="12" w:space="0" w:color="auto"/>
              <w:left w:val="nil"/>
              <w:bottom w:val="single" w:sz="12" w:space="0" w:color="auto"/>
              <w:right w:val="single" w:sz="4" w:space="0" w:color="auto"/>
            </w:tcBorders>
            <w:shd w:val="clear" w:color="auto" w:fill="D99594" w:themeFill="accent2" w:themeFillTint="99"/>
            <w:noWrap/>
            <w:vAlign w:val="center"/>
            <w:hideMark/>
          </w:tcPr>
          <w:p w:rsidR="00D13A2A" w:rsidRPr="00D13A2A" w:rsidRDefault="00DC00D2" w:rsidP="00D13A2A">
            <w:pPr>
              <w:jc w:val="center"/>
              <w:rPr>
                <w:rFonts w:ascii="Arial" w:hAnsi="Arial" w:cs="Arial"/>
                <w:sz w:val="12"/>
                <w:szCs w:val="12"/>
              </w:rPr>
            </w:pPr>
            <w:r>
              <w:rPr>
                <w:rFonts w:ascii="Arial" w:hAnsi="Arial" w:cs="Arial"/>
                <w:sz w:val="12"/>
                <w:szCs w:val="12"/>
              </w:rPr>
              <w:t>0,00%</w:t>
            </w:r>
          </w:p>
        </w:tc>
        <w:tc>
          <w:tcPr>
            <w:tcW w:w="851" w:type="dxa"/>
            <w:tcBorders>
              <w:top w:val="single" w:sz="12" w:space="0" w:color="auto"/>
              <w:left w:val="nil"/>
              <w:bottom w:val="single" w:sz="12" w:space="0" w:color="auto"/>
              <w:right w:val="single" w:sz="4" w:space="0" w:color="auto"/>
            </w:tcBorders>
            <w:shd w:val="clear" w:color="auto" w:fill="D99594" w:themeFill="accent2" w:themeFillTint="99"/>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c>
          <w:tcPr>
            <w:tcW w:w="709" w:type="dxa"/>
            <w:tcBorders>
              <w:top w:val="single" w:sz="12" w:space="0" w:color="auto"/>
              <w:left w:val="nil"/>
              <w:bottom w:val="single" w:sz="12" w:space="0" w:color="auto"/>
              <w:right w:val="single" w:sz="12" w:space="0" w:color="auto"/>
            </w:tcBorders>
            <w:shd w:val="clear" w:color="auto" w:fill="D99594" w:themeFill="accent2" w:themeFillTint="99"/>
            <w:noWrap/>
            <w:vAlign w:val="center"/>
            <w:hideMark/>
          </w:tcPr>
          <w:p w:rsidR="00D13A2A" w:rsidRPr="00D13A2A" w:rsidRDefault="00D13A2A" w:rsidP="00D13A2A">
            <w:pPr>
              <w:jc w:val="center"/>
              <w:rPr>
                <w:rFonts w:ascii="Arial" w:hAnsi="Arial" w:cs="Arial"/>
                <w:sz w:val="12"/>
                <w:szCs w:val="12"/>
              </w:rPr>
            </w:pPr>
            <w:r w:rsidRPr="00D13A2A">
              <w:rPr>
                <w:rFonts w:ascii="Arial" w:hAnsi="Arial" w:cs="Arial"/>
                <w:sz w:val="12"/>
                <w:szCs w:val="12"/>
              </w:rPr>
              <w:t> </w:t>
            </w:r>
          </w:p>
        </w:tc>
      </w:tr>
      <w:tr w:rsidR="00D13A2A" w:rsidRPr="00222EF2" w:rsidTr="00DC00D2">
        <w:trPr>
          <w:trHeight w:hRule="exact" w:val="227"/>
        </w:trPr>
        <w:tc>
          <w:tcPr>
            <w:tcW w:w="5685" w:type="dxa"/>
            <w:gridSpan w:val="3"/>
            <w:tcBorders>
              <w:top w:val="single" w:sz="12" w:space="0" w:color="auto"/>
              <w:left w:val="single" w:sz="12" w:space="0" w:color="auto"/>
              <w:bottom w:val="single" w:sz="12" w:space="0" w:color="auto"/>
              <w:right w:val="nil"/>
            </w:tcBorders>
            <w:shd w:val="clear" w:color="auto" w:fill="003300"/>
            <w:noWrap/>
            <w:vAlign w:val="center"/>
            <w:hideMark/>
          </w:tcPr>
          <w:p w:rsidR="00D13A2A" w:rsidRPr="00222EF2" w:rsidRDefault="00D13A2A" w:rsidP="00D13A2A">
            <w:pPr>
              <w:rPr>
                <w:rFonts w:ascii="Arial" w:hAnsi="Arial" w:cs="Arial"/>
                <w:b/>
                <w:bCs/>
                <w:color w:val="FFFFFF" w:themeColor="background1"/>
                <w:sz w:val="12"/>
                <w:szCs w:val="12"/>
              </w:rPr>
            </w:pPr>
            <w:r w:rsidRPr="00222EF2">
              <w:rPr>
                <w:rFonts w:ascii="Arial" w:hAnsi="Arial" w:cs="Arial"/>
                <w:b/>
                <w:bCs/>
                <w:color w:val="FFFFFF" w:themeColor="background1"/>
                <w:sz w:val="12"/>
                <w:szCs w:val="12"/>
              </w:rPr>
              <w:t>TOTAL DO PLANO PREVIDENCIÁRIO DISPONÍVEL EM 31/10/2014</w:t>
            </w:r>
          </w:p>
        </w:tc>
        <w:tc>
          <w:tcPr>
            <w:tcW w:w="975" w:type="dxa"/>
            <w:tcBorders>
              <w:top w:val="single" w:sz="12" w:space="0" w:color="auto"/>
              <w:left w:val="single" w:sz="12" w:space="0" w:color="auto"/>
              <w:bottom w:val="single" w:sz="12" w:space="0" w:color="auto"/>
              <w:right w:val="single" w:sz="12" w:space="0" w:color="auto"/>
            </w:tcBorders>
            <w:shd w:val="clear" w:color="auto" w:fill="003300"/>
            <w:noWrap/>
            <w:vAlign w:val="center"/>
            <w:hideMark/>
          </w:tcPr>
          <w:p w:rsidR="00D13A2A" w:rsidRPr="00222EF2" w:rsidRDefault="00DC00D2" w:rsidP="00DC00D2">
            <w:pPr>
              <w:jc w:val="right"/>
              <w:rPr>
                <w:rFonts w:ascii="Arial" w:hAnsi="Arial" w:cs="Arial"/>
                <w:b/>
                <w:bCs/>
                <w:color w:val="FFFFFF" w:themeColor="background1"/>
                <w:sz w:val="12"/>
                <w:szCs w:val="12"/>
              </w:rPr>
            </w:pPr>
            <w:r>
              <w:rPr>
                <w:rFonts w:ascii="Arial" w:hAnsi="Arial" w:cs="Arial"/>
                <w:b/>
                <w:bCs/>
                <w:color w:val="FFFFFF" w:themeColor="background1"/>
                <w:sz w:val="12"/>
                <w:szCs w:val="12"/>
              </w:rPr>
              <w:t>414.708.487,69</w:t>
            </w:r>
          </w:p>
        </w:tc>
        <w:tc>
          <w:tcPr>
            <w:tcW w:w="726" w:type="dxa"/>
            <w:tcBorders>
              <w:top w:val="single" w:sz="12" w:space="0" w:color="auto"/>
              <w:left w:val="nil"/>
              <w:bottom w:val="single" w:sz="12" w:space="0" w:color="auto"/>
              <w:right w:val="single" w:sz="12" w:space="0" w:color="auto"/>
            </w:tcBorders>
            <w:shd w:val="clear" w:color="auto" w:fill="003300"/>
            <w:noWrap/>
            <w:vAlign w:val="center"/>
            <w:hideMark/>
          </w:tcPr>
          <w:p w:rsidR="00D13A2A" w:rsidRPr="00222EF2" w:rsidRDefault="00DC00D2" w:rsidP="00D13A2A">
            <w:pPr>
              <w:jc w:val="center"/>
              <w:rPr>
                <w:rFonts w:ascii="Arial" w:hAnsi="Arial" w:cs="Arial"/>
                <w:b/>
                <w:bCs/>
                <w:color w:val="FFFFFF" w:themeColor="background1"/>
                <w:sz w:val="12"/>
                <w:szCs w:val="12"/>
              </w:rPr>
            </w:pPr>
            <w:r>
              <w:rPr>
                <w:rFonts w:ascii="Arial" w:hAnsi="Arial" w:cs="Arial"/>
                <w:b/>
                <w:bCs/>
                <w:color w:val="FFFFFF" w:themeColor="background1"/>
                <w:sz w:val="12"/>
                <w:szCs w:val="12"/>
              </w:rPr>
              <w:t>100,00%</w:t>
            </w:r>
          </w:p>
        </w:tc>
        <w:tc>
          <w:tcPr>
            <w:tcW w:w="851" w:type="dxa"/>
            <w:tcBorders>
              <w:top w:val="single" w:sz="12" w:space="0" w:color="auto"/>
              <w:left w:val="nil"/>
              <w:bottom w:val="single" w:sz="12" w:space="0" w:color="auto"/>
              <w:right w:val="nil"/>
            </w:tcBorders>
            <w:shd w:val="clear" w:color="auto" w:fill="003300"/>
            <w:noWrap/>
            <w:vAlign w:val="center"/>
            <w:hideMark/>
          </w:tcPr>
          <w:p w:rsidR="00D13A2A" w:rsidRPr="00222EF2" w:rsidRDefault="00D13A2A" w:rsidP="00D13A2A">
            <w:pPr>
              <w:rPr>
                <w:rFonts w:ascii="Arial" w:hAnsi="Arial" w:cs="Arial"/>
                <w:b/>
                <w:bCs/>
                <w:color w:val="FFFFFF" w:themeColor="background1"/>
                <w:sz w:val="12"/>
                <w:szCs w:val="12"/>
              </w:rPr>
            </w:pPr>
            <w:r w:rsidRPr="00222EF2">
              <w:rPr>
                <w:rFonts w:ascii="Arial" w:hAnsi="Arial" w:cs="Arial"/>
                <w:b/>
                <w:bCs/>
                <w:color w:val="FFFFFF" w:themeColor="background1"/>
                <w:sz w:val="12"/>
                <w:szCs w:val="12"/>
              </w:rPr>
              <w:t> </w:t>
            </w:r>
          </w:p>
        </w:tc>
        <w:tc>
          <w:tcPr>
            <w:tcW w:w="709" w:type="dxa"/>
            <w:tcBorders>
              <w:top w:val="single" w:sz="12" w:space="0" w:color="auto"/>
              <w:left w:val="nil"/>
              <w:bottom w:val="single" w:sz="12" w:space="0" w:color="auto"/>
              <w:right w:val="single" w:sz="12" w:space="0" w:color="auto"/>
            </w:tcBorders>
            <w:shd w:val="clear" w:color="auto" w:fill="003300"/>
            <w:noWrap/>
            <w:vAlign w:val="center"/>
            <w:hideMark/>
          </w:tcPr>
          <w:p w:rsidR="00D13A2A" w:rsidRPr="00222EF2" w:rsidRDefault="00D13A2A" w:rsidP="00D13A2A">
            <w:pPr>
              <w:rPr>
                <w:rFonts w:ascii="Arial" w:hAnsi="Arial" w:cs="Arial"/>
                <w:b/>
                <w:bCs/>
                <w:color w:val="FFFFFF" w:themeColor="background1"/>
                <w:sz w:val="12"/>
                <w:szCs w:val="12"/>
              </w:rPr>
            </w:pPr>
            <w:r w:rsidRPr="00222EF2">
              <w:rPr>
                <w:rFonts w:ascii="Arial" w:hAnsi="Arial" w:cs="Arial"/>
                <w:b/>
                <w:bCs/>
                <w:color w:val="FFFFFF" w:themeColor="background1"/>
                <w:sz w:val="12"/>
                <w:szCs w:val="12"/>
              </w:rPr>
              <w:t> </w:t>
            </w:r>
          </w:p>
        </w:tc>
      </w:tr>
    </w:tbl>
    <w:bookmarkEnd w:id="12"/>
    <w:bookmarkEnd w:id="13"/>
    <w:bookmarkEnd w:id="14"/>
    <w:bookmarkEnd w:id="15"/>
    <w:bookmarkEnd w:id="16"/>
    <w:p w:rsidR="00EA50EF" w:rsidRPr="00CF0E68" w:rsidRDefault="00E62C70" w:rsidP="00E62C70">
      <w:pPr>
        <w:autoSpaceDE w:val="0"/>
        <w:autoSpaceDN w:val="0"/>
        <w:adjustRightInd w:val="0"/>
        <w:spacing w:before="120" w:after="120" w:line="312"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00530EE1">
        <w:rPr>
          <w:rFonts w:ascii="Arial" w:hAnsi="Arial" w:cs="Arial"/>
          <w:sz w:val="20"/>
          <w:szCs w:val="20"/>
        </w:rPr>
        <w:t>A carteira apresentada está enquadrada nos limites da Resolução 3.</w:t>
      </w:r>
      <w:r w:rsidR="008E6C7C">
        <w:rPr>
          <w:rFonts w:ascii="Arial" w:hAnsi="Arial" w:cs="Arial"/>
          <w:sz w:val="20"/>
          <w:szCs w:val="20"/>
        </w:rPr>
        <w:t>922</w:t>
      </w:r>
      <w:r w:rsidR="00530EE1">
        <w:rPr>
          <w:rFonts w:ascii="Arial" w:hAnsi="Arial" w:cs="Arial"/>
          <w:sz w:val="20"/>
          <w:szCs w:val="20"/>
        </w:rPr>
        <w:t>/20</w:t>
      </w:r>
      <w:r w:rsidR="008E6C7C">
        <w:rPr>
          <w:rFonts w:ascii="Arial" w:hAnsi="Arial" w:cs="Arial"/>
          <w:sz w:val="20"/>
          <w:szCs w:val="20"/>
        </w:rPr>
        <w:t>10</w:t>
      </w:r>
      <w:r w:rsidR="00530EE1">
        <w:rPr>
          <w:rFonts w:ascii="Arial" w:hAnsi="Arial" w:cs="Arial"/>
          <w:sz w:val="20"/>
          <w:szCs w:val="20"/>
        </w:rPr>
        <w:t xml:space="preserve">, </w:t>
      </w:r>
      <w:r w:rsidR="008E6C7C">
        <w:rPr>
          <w:rFonts w:ascii="Arial" w:hAnsi="Arial" w:cs="Arial"/>
          <w:sz w:val="20"/>
          <w:szCs w:val="20"/>
        </w:rPr>
        <w:t>de</w:t>
      </w:r>
      <w:r w:rsidR="00530EE1">
        <w:rPr>
          <w:rFonts w:ascii="Arial" w:hAnsi="Arial" w:cs="Arial"/>
          <w:sz w:val="20"/>
          <w:szCs w:val="20"/>
        </w:rPr>
        <w:t xml:space="preserve"> 25 de novembro de 2010</w:t>
      </w:r>
      <w:r w:rsidR="00EA50EF" w:rsidRPr="00CF0E68">
        <w:rPr>
          <w:rFonts w:ascii="Arial" w:hAnsi="Arial" w:cs="Arial"/>
          <w:sz w:val="20"/>
          <w:szCs w:val="20"/>
        </w:rPr>
        <w:t xml:space="preserve">, </w:t>
      </w:r>
      <w:r w:rsidR="00CF71D3" w:rsidRPr="00CF0E68">
        <w:rPr>
          <w:rFonts w:ascii="Arial" w:hAnsi="Arial" w:cs="Arial"/>
          <w:sz w:val="20"/>
          <w:szCs w:val="20"/>
        </w:rPr>
        <w:t>obedec</w:t>
      </w:r>
      <w:r w:rsidR="003E76D7">
        <w:rPr>
          <w:rFonts w:ascii="Arial" w:hAnsi="Arial" w:cs="Arial"/>
          <w:sz w:val="20"/>
          <w:szCs w:val="20"/>
        </w:rPr>
        <w:t>idos</w:t>
      </w:r>
      <w:r w:rsidR="00CF71D3" w:rsidRPr="00CF0E68">
        <w:rPr>
          <w:rFonts w:ascii="Arial" w:hAnsi="Arial" w:cs="Arial"/>
          <w:sz w:val="20"/>
          <w:szCs w:val="20"/>
        </w:rPr>
        <w:t xml:space="preserve"> os limites</w:t>
      </w:r>
      <w:r w:rsidR="008E6C7C">
        <w:rPr>
          <w:rFonts w:ascii="Arial" w:hAnsi="Arial" w:cs="Arial"/>
          <w:sz w:val="20"/>
          <w:szCs w:val="20"/>
        </w:rPr>
        <w:t xml:space="preserve"> </w:t>
      </w:r>
      <w:r w:rsidR="001F4CB9">
        <w:rPr>
          <w:rFonts w:ascii="Arial" w:hAnsi="Arial" w:cs="Arial"/>
          <w:sz w:val="20"/>
          <w:szCs w:val="20"/>
        </w:rPr>
        <w:t xml:space="preserve">permitidos, </w:t>
      </w:r>
      <w:r w:rsidR="00EA50EF" w:rsidRPr="00CF0E68">
        <w:rPr>
          <w:rFonts w:ascii="Arial" w:hAnsi="Arial" w:cs="Arial"/>
          <w:sz w:val="20"/>
          <w:szCs w:val="20"/>
        </w:rPr>
        <w:t>prop</w:t>
      </w:r>
      <w:r w:rsidR="008E6C7C">
        <w:rPr>
          <w:rFonts w:ascii="Arial" w:hAnsi="Arial" w:cs="Arial"/>
          <w:sz w:val="20"/>
          <w:szCs w:val="20"/>
        </w:rPr>
        <w:t>ondo</w:t>
      </w:r>
      <w:r w:rsidR="00EA50EF" w:rsidRPr="00CF0E68">
        <w:rPr>
          <w:rFonts w:ascii="Arial" w:hAnsi="Arial" w:cs="Arial"/>
          <w:sz w:val="20"/>
          <w:szCs w:val="20"/>
        </w:rPr>
        <w:t xml:space="preserve">-se </w:t>
      </w:r>
      <w:r w:rsidR="008E6C7C">
        <w:rPr>
          <w:rFonts w:ascii="Arial" w:hAnsi="Arial" w:cs="Arial"/>
          <w:sz w:val="20"/>
          <w:szCs w:val="20"/>
        </w:rPr>
        <w:t xml:space="preserve">a </w:t>
      </w:r>
      <w:r w:rsidR="00EA50EF" w:rsidRPr="00CF0E68">
        <w:rPr>
          <w:rFonts w:ascii="Arial" w:hAnsi="Arial" w:cs="Arial"/>
          <w:sz w:val="20"/>
          <w:szCs w:val="20"/>
        </w:rPr>
        <w:t xml:space="preserve">adotar o limite de no mínimo </w:t>
      </w:r>
      <w:r w:rsidR="00E317FC">
        <w:rPr>
          <w:rFonts w:ascii="Arial" w:hAnsi="Arial" w:cs="Arial"/>
          <w:sz w:val="20"/>
          <w:szCs w:val="20"/>
        </w:rPr>
        <w:t>70</w:t>
      </w:r>
      <w:r w:rsidR="00EA50EF" w:rsidRPr="00CF0E68">
        <w:rPr>
          <w:rFonts w:ascii="Arial" w:hAnsi="Arial" w:cs="Arial"/>
          <w:sz w:val="20"/>
          <w:szCs w:val="20"/>
        </w:rPr>
        <w:t xml:space="preserve">% </w:t>
      </w:r>
      <w:r w:rsidR="00135D33" w:rsidRPr="00CF0E68">
        <w:rPr>
          <w:rFonts w:ascii="Arial" w:hAnsi="Arial" w:cs="Arial"/>
          <w:sz w:val="20"/>
          <w:szCs w:val="20"/>
        </w:rPr>
        <w:t>(</w:t>
      </w:r>
      <w:r w:rsidR="00E317FC">
        <w:rPr>
          <w:rFonts w:ascii="Arial" w:hAnsi="Arial" w:cs="Arial"/>
          <w:sz w:val="20"/>
          <w:szCs w:val="20"/>
        </w:rPr>
        <w:t>setenta</w:t>
      </w:r>
      <w:r w:rsidR="00135D33" w:rsidRPr="00CF0E68">
        <w:rPr>
          <w:rFonts w:ascii="Arial" w:hAnsi="Arial" w:cs="Arial"/>
          <w:sz w:val="20"/>
          <w:szCs w:val="20"/>
        </w:rPr>
        <w:t xml:space="preserve"> por cento) </w:t>
      </w:r>
      <w:r w:rsidR="00EA50EF" w:rsidRPr="00CF0E68">
        <w:rPr>
          <w:rFonts w:ascii="Arial" w:hAnsi="Arial" w:cs="Arial"/>
          <w:sz w:val="20"/>
          <w:szCs w:val="20"/>
        </w:rPr>
        <w:t xml:space="preserve">e no máximo </w:t>
      </w:r>
      <w:r w:rsidR="00135D33" w:rsidRPr="00CF0E68">
        <w:rPr>
          <w:rFonts w:ascii="Arial" w:hAnsi="Arial" w:cs="Arial"/>
          <w:sz w:val="20"/>
          <w:szCs w:val="20"/>
        </w:rPr>
        <w:t>100</w:t>
      </w:r>
      <w:r w:rsidR="00EA50EF" w:rsidRPr="00CF0E68">
        <w:rPr>
          <w:rFonts w:ascii="Arial" w:hAnsi="Arial" w:cs="Arial"/>
          <w:sz w:val="20"/>
          <w:szCs w:val="20"/>
        </w:rPr>
        <w:t>%</w:t>
      </w:r>
      <w:r w:rsidR="00135D33" w:rsidRPr="00CF0E68">
        <w:rPr>
          <w:rFonts w:ascii="Arial" w:hAnsi="Arial" w:cs="Arial"/>
          <w:sz w:val="20"/>
          <w:szCs w:val="20"/>
        </w:rPr>
        <w:t xml:space="preserve">(cem por cento) </w:t>
      </w:r>
      <w:r w:rsidR="00D90115" w:rsidRPr="00CF0E68">
        <w:rPr>
          <w:rFonts w:ascii="Arial" w:hAnsi="Arial" w:cs="Arial"/>
          <w:sz w:val="20"/>
          <w:szCs w:val="20"/>
        </w:rPr>
        <w:t>das aplicações</w:t>
      </w:r>
      <w:r w:rsidR="00EA50EF" w:rsidRPr="00CF0E68">
        <w:rPr>
          <w:rFonts w:ascii="Arial" w:hAnsi="Arial" w:cs="Arial"/>
          <w:sz w:val="20"/>
          <w:szCs w:val="20"/>
        </w:rPr>
        <w:t xml:space="preserve"> no segmento de renda fixa</w:t>
      </w:r>
      <w:r w:rsidR="00CF71D3" w:rsidRPr="00CF0E68">
        <w:rPr>
          <w:rFonts w:ascii="Arial" w:hAnsi="Arial" w:cs="Arial"/>
          <w:sz w:val="20"/>
          <w:szCs w:val="20"/>
        </w:rPr>
        <w:t>.</w:t>
      </w:r>
    </w:p>
    <w:p w:rsidR="00CF71D3" w:rsidRPr="00C130AE" w:rsidRDefault="00053464" w:rsidP="00053464">
      <w:pPr>
        <w:autoSpaceDE w:val="0"/>
        <w:autoSpaceDN w:val="0"/>
        <w:adjustRightInd w:val="0"/>
        <w:spacing w:before="120" w:after="12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F71D3" w:rsidRPr="00C130AE">
        <w:rPr>
          <w:rFonts w:ascii="Arial" w:hAnsi="Arial" w:cs="Arial"/>
          <w:sz w:val="20"/>
          <w:szCs w:val="20"/>
        </w:rPr>
        <w:t>Em relação ao segmento de renda variável, cuja limitação legal estabelece que os recur</w:t>
      </w:r>
      <w:r w:rsidR="003E76D7">
        <w:rPr>
          <w:rFonts w:ascii="Arial" w:hAnsi="Arial" w:cs="Arial"/>
          <w:sz w:val="20"/>
          <w:szCs w:val="20"/>
        </w:rPr>
        <w:t>sos alocados nos investimentos</w:t>
      </w:r>
      <w:r w:rsidR="00895FF5">
        <w:rPr>
          <w:rFonts w:ascii="Arial" w:hAnsi="Arial" w:cs="Arial"/>
          <w:sz w:val="20"/>
          <w:szCs w:val="20"/>
        </w:rPr>
        <w:t xml:space="preserve"> </w:t>
      </w:r>
      <w:r w:rsidR="00CF71D3" w:rsidRPr="00C130AE">
        <w:rPr>
          <w:rFonts w:ascii="Arial" w:hAnsi="Arial" w:cs="Arial"/>
          <w:bCs/>
          <w:sz w:val="20"/>
          <w:szCs w:val="20"/>
        </w:rPr>
        <w:t>cumulativamente</w:t>
      </w:r>
      <w:r w:rsidR="00CF71D3" w:rsidRPr="00C130AE">
        <w:rPr>
          <w:rFonts w:ascii="Arial" w:hAnsi="Arial" w:cs="Arial"/>
          <w:sz w:val="20"/>
          <w:szCs w:val="20"/>
        </w:rPr>
        <w:t xml:space="preserve"> não poderão exceder a 30% (trinta por cento) da totalidade dos recursos em moeda corrente do </w:t>
      </w:r>
      <w:r w:rsidR="00B9513A" w:rsidRPr="00C130AE">
        <w:rPr>
          <w:rFonts w:ascii="Arial" w:hAnsi="Arial" w:cs="Arial"/>
          <w:sz w:val="20"/>
          <w:szCs w:val="20"/>
        </w:rPr>
        <w:t>Regime Próprio de Previdência Social</w:t>
      </w:r>
      <w:r w:rsidR="00CF71D3" w:rsidRPr="00C130AE">
        <w:rPr>
          <w:rFonts w:ascii="Arial" w:hAnsi="Arial" w:cs="Arial"/>
          <w:sz w:val="20"/>
          <w:szCs w:val="20"/>
        </w:rPr>
        <w:t xml:space="preserve">, </w:t>
      </w:r>
      <w:r w:rsidR="003E76D7">
        <w:rPr>
          <w:rFonts w:ascii="Arial" w:hAnsi="Arial" w:cs="Arial"/>
          <w:sz w:val="20"/>
          <w:szCs w:val="20"/>
        </w:rPr>
        <w:t xml:space="preserve">limitação </w:t>
      </w:r>
      <w:r w:rsidR="009E2DDF">
        <w:rPr>
          <w:rFonts w:ascii="Arial" w:hAnsi="Arial" w:cs="Arial"/>
          <w:sz w:val="20"/>
          <w:szCs w:val="20"/>
        </w:rPr>
        <w:t xml:space="preserve">esta </w:t>
      </w:r>
      <w:r w:rsidR="003E76D7">
        <w:rPr>
          <w:rFonts w:ascii="Arial" w:hAnsi="Arial" w:cs="Arial"/>
          <w:sz w:val="20"/>
          <w:szCs w:val="20"/>
        </w:rPr>
        <w:t>que será atendida pel</w:t>
      </w:r>
      <w:r w:rsidR="00CF71D3" w:rsidRPr="00C130AE">
        <w:rPr>
          <w:rFonts w:ascii="Arial" w:hAnsi="Arial" w:cs="Arial"/>
          <w:sz w:val="20"/>
          <w:szCs w:val="20"/>
        </w:rPr>
        <w:t>a AMPREV</w:t>
      </w:r>
      <w:r w:rsidR="003E76D7">
        <w:rPr>
          <w:rFonts w:ascii="Arial" w:hAnsi="Arial" w:cs="Arial"/>
          <w:sz w:val="20"/>
          <w:szCs w:val="20"/>
        </w:rPr>
        <w:t xml:space="preserve">, não elevando investimentos nesse segmento do mercado financeiro a mais que 20% de seu </w:t>
      </w:r>
      <w:r w:rsidR="00E55076">
        <w:rPr>
          <w:rFonts w:ascii="Arial" w:hAnsi="Arial" w:cs="Arial"/>
          <w:sz w:val="20"/>
          <w:szCs w:val="20"/>
        </w:rPr>
        <w:t>P</w:t>
      </w:r>
      <w:r w:rsidR="00F81578">
        <w:rPr>
          <w:rFonts w:ascii="Arial" w:hAnsi="Arial" w:cs="Arial"/>
          <w:sz w:val="20"/>
          <w:szCs w:val="20"/>
        </w:rPr>
        <w:t xml:space="preserve">atrimônio </w:t>
      </w:r>
      <w:r w:rsidR="00E55076">
        <w:rPr>
          <w:rFonts w:ascii="Arial" w:hAnsi="Arial" w:cs="Arial"/>
          <w:sz w:val="20"/>
          <w:szCs w:val="20"/>
        </w:rPr>
        <w:t>L</w:t>
      </w:r>
      <w:r w:rsidR="00F81578">
        <w:rPr>
          <w:rFonts w:ascii="Arial" w:hAnsi="Arial" w:cs="Arial"/>
          <w:sz w:val="20"/>
          <w:szCs w:val="20"/>
        </w:rPr>
        <w:t>íquido</w:t>
      </w:r>
      <w:r w:rsidR="00E55076">
        <w:rPr>
          <w:rFonts w:ascii="Arial" w:hAnsi="Arial" w:cs="Arial"/>
          <w:sz w:val="20"/>
          <w:szCs w:val="20"/>
        </w:rPr>
        <w:t xml:space="preserve"> em cotas de um mesmo fundo</w:t>
      </w:r>
      <w:r w:rsidR="00CF71D3" w:rsidRPr="00C130AE">
        <w:rPr>
          <w:rFonts w:ascii="Arial" w:hAnsi="Arial" w:cs="Arial"/>
          <w:sz w:val="20"/>
          <w:szCs w:val="20"/>
        </w:rPr>
        <w:t>, sendo relevante observar que os investimentos poderão ocorrer em relação a:</w:t>
      </w:r>
    </w:p>
    <w:p w:rsidR="005F0A9F" w:rsidRDefault="00E317FC" w:rsidP="005F0A9F">
      <w:pPr>
        <w:numPr>
          <w:ilvl w:val="0"/>
          <w:numId w:val="48"/>
        </w:numPr>
        <w:spacing w:line="312" w:lineRule="auto"/>
        <w:ind w:left="1701" w:hanging="283"/>
        <w:jc w:val="both"/>
        <w:rPr>
          <w:rFonts w:ascii="Arial" w:hAnsi="Arial" w:cs="Arial"/>
          <w:sz w:val="20"/>
          <w:szCs w:val="20"/>
        </w:rPr>
      </w:pPr>
      <w:r>
        <w:rPr>
          <w:rFonts w:ascii="Arial" w:hAnsi="Arial" w:cs="Arial"/>
          <w:sz w:val="20"/>
          <w:szCs w:val="20"/>
        </w:rPr>
        <w:t xml:space="preserve">Cotas de </w:t>
      </w:r>
      <w:r w:rsidR="00D938CB">
        <w:rPr>
          <w:rFonts w:ascii="Arial" w:hAnsi="Arial" w:cs="Arial"/>
          <w:sz w:val="20"/>
          <w:szCs w:val="20"/>
        </w:rPr>
        <w:t>f</w:t>
      </w:r>
      <w:r w:rsidR="00E1138A" w:rsidRPr="00E317FC">
        <w:rPr>
          <w:rFonts w:ascii="Arial" w:hAnsi="Arial" w:cs="Arial"/>
          <w:sz w:val="20"/>
          <w:szCs w:val="20"/>
        </w:rPr>
        <w:t xml:space="preserve">undos de investimento </w:t>
      </w:r>
      <w:r w:rsidRPr="00E317FC">
        <w:rPr>
          <w:rFonts w:ascii="Arial" w:hAnsi="Arial" w:cs="Arial"/>
          <w:bCs/>
          <w:sz w:val="20"/>
          <w:szCs w:val="20"/>
        </w:rPr>
        <w:t>constituídos sob forma de condomínio aberto</w:t>
      </w:r>
      <w:r w:rsidR="00C130AE">
        <w:rPr>
          <w:rFonts w:ascii="Arial" w:hAnsi="Arial" w:cs="Arial"/>
          <w:bCs/>
          <w:sz w:val="20"/>
          <w:szCs w:val="20"/>
        </w:rPr>
        <w:t xml:space="preserve"> e classificados como referenciados ao IBOVESPA, IBrX ou IBrX-50</w:t>
      </w:r>
      <w:r w:rsidR="00E1138A" w:rsidRPr="00E317FC">
        <w:rPr>
          <w:rFonts w:ascii="Arial" w:hAnsi="Arial" w:cs="Arial"/>
          <w:sz w:val="20"/>
          <w:szCs w:val="20"/>
        </w:rPr>
        <w:t>;</w:t>
      </w:r>
    </w:p>
    <w:p w:rsidR="005F0A9F" w:rsidRDefault="00E317FC" w:rsidP="005F0A9F">
      <w:pPr>
        <w:numPr>
          <w:ilvl w:val="0"/>
          <w:numId w:val="48"/>
        </w:numPr>
        <w:spacing w:line="312" w:lineRule="auto"/>
        <w:ind w:left="1701" w:hanging="283"/>
        <w:jc w:val="both"/>
        <w:rPr>
          <w:rFonts w:ascii="Arial" w:hAnsi="Arial" w:cs="Arial"/>
          <w:sz w:val="20"/>
          <w:szCs w:val="20"/>
        </w:rPr>
      </w:pPr>
      <w:r w:rsidRPr="005F0A9F">
        <w:rPr>
          <w:rFonts w:ascii="Arial" w:hAnsi="Arial" w:cs="Arial"/>
          <w:sz w:val="20"/>
          <w:szCs w:val="20"/>
        </w:rPr>
        <w:t xml:space="preserve">Cotas de </w:t>
      </w:r>
      <w:r w:rsidR="00D938CB">
        <w:rPr>
          <w:rFonts w:ascii="Arial" w:hAnsi="Arial" w:cs="Arial"/>
          <w:sz w:val="20"/>
          <w:szCs w:val="20"/>
        </w:rPr>
        <w:t>f</w:t>
      </w:r>
      <w:r w:rsidRPr="005F0A9F">
        <w:rPr>
          <w:rFonts w:ascii="Arial" w:hAnsi="Arial" w:cs="Arial"/>
          <w:sz w:val="20"/>
          <w:szCs w:val="20"/>
        </w:rPr>
        <w:t xml:space="preserve">undos de </w:t>
      </w:r>
      <w:r w:rsidR="00D938CB">
        <w:rPr>
          <w:rFonts w:ascii="Arial" w:hAnsi="Arial" w:cs="Arial"/>
          <w:sz w:val="20"/>
          <w:szCs w:val="20"/>
        </w:rPr>
        <w:t>í</w:t>
      </w:r>
      <w:r w:rsidRPr="005F0A9F">
        <w:rPr>
          <w:rFonts w:ascii="Arial" w:hAnsi="Arial" w:cs="Arial"/>
          <w:sz w:val="20"/>
          <w:szCs w:val="20"/>
        </w:rPr>
        <w:t>ndices referenciados em ações, negociadas em bolsa de valores</w:t>
      </w:r>
      <w:r w:rsidR="00974575" w:rsidRPr="005F0A9F">
        <w:rPr>
          <w:rFonts w:ascii="Arial" w:hAnsi="Arial" w:cs="Arial"/>
          <w:sz w:val="20"/>
          <w:szCs w:val="20"/>
        </w:rPr>
        <w:t>;</w:t>
      </w:r>
    </w:p>
    <w:p w:rsidR="005F0A9F" w:rsidRDefault="00E317FC" w:rsidP="005F0A9F">
      <w:pPr>
        <w:numPr>
          <w:ilvl w:val="0"/>
          <w:numId w:val="48"/>
        </w:numPr>
        <w:spacing w:line="312" w:lineRule="auto"/>
        <w:ind w:left="1701" w:hanging="283"/>
        <w:jc w:val="both"/>
        <w:rPr>
          <w:rFonts w:ascii="Arial" w:hAnsi="Arial" w:cs="Arial"/>
          <w:sz w:val="20"/>
          <w:szCs w:val="20"/>
        </w:rPr>
      </w:pPr>
      <w:r w:rsidRPr="005F0A9F">
        <w:rPr>
          <w:rFonts w:ascii="Arial" w:hAnsi="Arial" w:cs="Arial"/>
          <w:sz w:val="20"/>
          <w:szCs w:val="20"/>
        </w:rPr>
        <w:t xml:space="preserve">Cotas de </w:t>
      </w:r>
      <w:r w:rsidR="00D938CB">
        <w:rPr>
          <w:rFonts w:ascii="Arial" w:hAnsi="Arial" w:cs="Arial"/>
          <w:sz w:val="20"/>
          <w:szCs w:val="20"/>
        </w:rPr>
        <w:t>f</w:t>
      </w:r>
      <w:r w:rsidRPr="005F0A9F">
        <w:rPr>
          <w:rFonts w:ascii="Arial" w:hAnsi="Arial" w:cs="Arial"/>
          <w:sz w:val="20"/>
          <w:szCs w:val="20"/>
        </w:rPr>
        <w:t>undos de investimento</w:t>
      </w:r>
      <w:r w:rsidR="00E1138A" w:rsidRPr="005F0A9F">
        <w:rPr>
          <w:rFonts w:ascii="Arial" w:hAnsi="Arial" w:cs="Arial"/>
          <w:sz w:val="20"/>
          <w:szCs w:val="20"/>
        </w:rPr>
        <w:t xml:space="preserve"> em </w:t>
      </w:r>
      <w:r w:rsidR="00E1138A" w:rsidRPr="005F0A9F">
        <w:rPr>
          <w:rFonts w:ascii="Arial" w:hAnsi="Arial" w:cs="Arial"/>
          <w:bCs/>
          <w:sz w:val="20"/>
          <w:szCs w:val="20"/>
        </w:rPr>
        <w:t>ações</w:t>
      </w:r>
      <w:r w:rsidRPr="005F0A9F">
        <w:rPr>
          <w:rFonts w:ascii="Arial" w:hAnsi="Arial" w:cs="Arial"/>
          <w:bCs/>
          <w:sz w:val="20"/>
          <w:szCs w:val="20"/>
        </w:rPr>
        <w:t>, constituídos sob forma de condomínio aberto</w:t>
      </w:r>
      <w:r w:rsidR="00E1138A" w:rsidRPr="005F0A9F">
        <w:rPr>
          <w:rFonts w:ascii="Arial" w:hAnsi="Arial" w:cs="Arial"/>
          <w:sz w:val="20"/>
          <w:szCs w:val="20"/>
        </w:rPr>
        <w:t>;</w:t>
      </w:r>
    </w:p>
    <w:p w:rsidR="005F0A9F" w:rsidRDefault="00E317FC" w:rsidP="005F0A9F">
      <w:pPr>
        <w:numPr>
          <w:ilvl w:val="0"/>
          <w:numId w:val="48"/>
        </w:numPr>
        <w:spacing w:line="312" w:lineRule="auto"/>
        <w:ind w:left="1701" w:hanging="283"/>
        <w:jc w:val="both"/>
        <w:rPr>
          <w:rFonts w:ascii="Arial" w:hAnsi="Arial" w:cs="Arial"/>
          <w:sz w:val="20"/>
          <w:szCs w:val="20"/>
        </w:rPr>
      </w:pPr>
      <w:r w:rsidRPr="005F0A9F">
        <w:rPr>
          <w:rFonts w:ascii="Arial" w:hAnsi="Arial" w:cs="Arial"/>
          <w:sz w:val="20"/>
          <w:szCs w:val="20"/>
        </w:rPr>
        <w:t xml:space="preserve">Cotas de </w:t>
      </w:r>
      <w:r w:rsidR="00D938CB">
        <w:rPr>
          <w:rFonts w:ascii="Arial" w:hAnsi="Arial" w:cs="Arial"/>
          <w:sz w:val="20"/>
          <w:szCs w:val="20"/>
        </w:rPr>
        <w:t>f</w:t>
      </w:r>
      <w:r w:rsidRPr="005F0A9F">
        <w:rPr>
          <w:rFonts w:ascii="Arial" w:hAnsi="Arial" w:cs="Arial"/>
          <w:bCs/>
          <w:sz w:val="20"/>
          <w:szCs w:val="20"/>
        </w:rPr>
        <w:t>undos de investimento</w:t>
      </w:r>
      <w:r w:rsidR="00E1138A" w:rsidRPr="005F0A9F">
        <w:rPr>
          <w:rFonts w:ascii="Arial" w:hAnsi="Arial" w:cs="Arial"/>
          <w:bCs/>
          <w:sz w:val="20"/>
          <w:szCs w:val="20"/>
        </w:rPr>
        <w:t xml:space="preserve"> classificados como multimercado</w:t>
      </w:r>
      <w:r w:rsidRPr="005F0A9F">
        <w:rPr>
          <w:rFonts w:ascii="Arial" w:hAnsi="Arial" w:cs="Arial"/>
          <w:bCs/>
          <w:sz w:val="20"/>
          <w:szCs w:val="20"/>
        </w:rPr>
        <w:t>, constituí</w:t>
      </w:r>
      <w:r w:rsidR="003E76D7">
        <w:rPr>
          <w:rFonts w:ascii="Arial" w:hAnsi="Arial" w:cs="Arial"/>
          <w:bCs/>
          <w:sz w:val="20"/>
          <w:szCs w:val="20"/>
        </w:rPr>
        <w:t>dos sob</w:t>
      </w:r>
      <w:r w:rsidRPr="005F0A9F">
        <w:rPr>
          <w:rFonts w:ascii="Arial" w:hAnsi="Arial" w:cs="Arial"/>
          <w:bCs/>
          <w:sz w:val="20"/>
          <w:szCs w:val="20"/>
        </w:rPr>
        <w:t xml:space="preserve"> forma de condomínio aberto, sem alavancagem</w:t>
      </w:r>
      <w:r w:rsidRPr="005F0A9F">
        <w:rPr>
          <w:rFonts w:ascii="Arial" w:hAnsi="Arial" w:cs="Arial"/>
          <w:sz w:val="20"/>
          <w:szCs w:val="20"/>
        </w:rPr>
        <w:t>;</w:t>
      </w:r>
    </w:p>
    <w:p w:rsidR="005F0A9F" w:rsidRDefault="00E317FC" w:rsidP="005F0A9F">
      <w:pPr>
        <w:numPr>
          <w:ilvl w:val="0"/>
          <w:numId w:val="48"/>
        </w:numPr>
        <w:spacing w:line="312" w:lineRule="auto"/>
        <w:ind w:left="1701" w:hanging="283"/>
        <w:jc w:val="both"/>
        <w:rPr>
          <w:rFonts w:ascii="Arial" w:hAnsi="Arial" w:cs="Arial"/>
          <w:sz w:val="20"/>
          <w:szCs w:val="20"/>
        </w:rPr>
      </w:pPr>
      <w:r w:rsidRPr="005F0A9F">
        <w:rPr>
          <w:rFonts w:ascii="Arial" w:hAnsi="Arial" w:cs="Arial"/>
          <w:sz w:val="20"/>
          <w:szCs w:val="20"/>
        </w:rPr>
        <w:t xml:space="preserve">Cotas de </w:t>
      </w:r>
      <w:r w:rsidR="00D938CB">
        <w:rPr>
          <w:rFonts w:ascii="Arial" w:hAnsi="Arial" w:cs="Arial"/>
          <w:sz w:val="20"/>
          <w:szCs w:val="20"/>
        </w:rPr>
        <w:t>f</w:t>
      </w:r>
      <w:r w:rsidRPr="005F0A9F">
        <w:rPr>
          <w:rFonts w:ascii="Arial" w:hAnsi="Arial" w:cs="Arial"/>
          <w:bCs/>
          <w:sz w:val="20"/>
          <w:szCs w:val="20"/>
        </w:rPr>
        <w:t>undos de investimento em participações, constituídos sob forma de condomínio fechado;</w:t>
      </w:r>
    </w:p>
    <w:p w:rsidR="00E317FC" w:rsidRPr="005F0A9F" w:rsidRDefault="00E317FC" w:rsidP="005F0A9F">
      <w:pPr>
        <w:numPr>
          <w:ilvl w:val="0"/>
          <w:numId w:val="48"/>
        </w:numPr>
        <w:spacing w:line="312" w:lineRule="auto"/>
        <w:ind w:left="1701" w:hanging="283"/>
        <w:jc w:val="both"/>
        <w:rPr>
          <w:rFonts w:ascii="Arial" w:hAnsi="Arial" w:cs="Arial"/>
          <w:sz w:val="20"/>
          <w:szCs w:val="20"/>
        </w:rPr>
      </w:pPr>
      <w:r w:rsidRPr="005F0A9F">
        <w:rPr>
          <w:rFonts w:ascii="Arial" w:hAnsi="Arial" w:cs="Arial"/>
          <w:sz w:val="20"/>
          <w:szCs w:val="20"/>
        </w:rPr>
        <w:t xml:space="preserve">Cotas de </w:t>
      </w:r>
      <w:r w:rsidR="00D938CB">
        <w:rPr>
          <w:rFonts w:ascii="Arial" w:hAnsi="Arial" w:cs="Arial"/>
          <w:sz w:val="20"/>
          <w:szCs w:val="20"/>
        </w:rPr>
        <w:t>f</w:t>
      </w:r>
      <w:r w:rsidRPr="005F0A9F">
        <w:rPr>
          <w:rFonts w:ascii="Arial" w:hAnsi="Arial" w:cs="Arial"/>
          <w:bCs/>
          <w:sz w:val="20"/>
          <w:szCs w:val="20"/>
        </w:rPr>
        <w:t xml:space="preserve">undos de investimento imobiliário, </w:t>
      </w:r>
      <w:r w:rsidRPr="005F0A9F">
        <w:rPr>
          <w:rFonts w:ascii="Arial" w:hAnsi="Arial" w:cs="Arial"/>
          <w:sz w:val="20"/>
          <w:szCs w:val="20"/>
        </w:rPr>
        <w:t>com cotas negociadas na bolsa de valores.</w:t>
      </w:r>
    </w:p>
    <w:p w:rsidR="00980F0E" w:rsidRPr="0014132F" w:rsidRDefault="00980F0E" w:rsidP="005F0A9F">
      <w:pPr>
        <w:autoSpaceDE w:val="0"/>
        <w:autoSpaceDN w:val="0"/>
        <w:adjustRightInd w:val="0"/>
        <w:spacing w:after="120" w:line="312" w:lineRule="auto"/>
        <w:ind w:firstLine="1418"/>
        <w:jc w:val="both"/>
        <w:rPr>
          <w:rFonts w:ascii="Arial" w:hAnsi="Arial" w:cs="Arial"/>
          <w:iCs/>
          <w:sz w:val="20"/>
          <w:szCs w:val="20"/>
        </w:rPr>
      </w:pPr>
      <w:r w:rsidRPr="00CF0E68">
        <w:rPr>
          <w:rFonts w:ascii="Arial" w:hAnsi="Arial" w:cs="Arial"/>
          <w:iCs/>
          <w:sz w:val="20"/>
          <w:szCs w:val="20"/>
        </w:rPr>
        <w:t xml:space="preserve">A </w:t>
      </w:r>
      <w:r w:rsidR="00D276F5" w:rsidRPr="00CF0E68">
        <w:rPr>
          <w:rFonts w:ascii="Arial" w:hAnsi="Arial" w:cs="Arial"/>
          <w:iCs/>
          <w:sz w:val="20"/>
          <w:szCs w:val="20"/>
        </w:rPr>
        <w:t xml:space="preserve">negociação </w:t>
      </w:r>
      <w:r w:rsidRPr="00CF0E68">
        <w:rPr>
          <w:rFonts w:ascii="Arial" w:hAnsi="Arial" w:cs="Arial"/>
          <w:iCs/>
          <w:sz w:val="20"/>
          <w:szCs w:val="20"/>
        </w:rPr>
        <w:t xml:space="preserve">de </w:t>
      </w:r>
      <w:r w:rsidR="00D276F5" w:rsidRPr="00CF0E68">
        <w:rPr>
          <w:rFonts w:ascii="Arial" w:hAnsi="Arial" w:cs="Arial"/>
          <w:sz w:val="20"/>
          <w:szCs w:val="20"/>
        </w:rPr>
        <w:t>títulos e valores mobiliários</w:t>
      </w:r>
      <w:r w:rsidR="00895FF5">
        <w:rPr>
          <w:rFonts w:ascii="Arial" w:hAnsi="Arial" w:cs="Arial"/>
          <w:sz w:val="20"/>
          <w:szCs w:val="20"/>
        </w:rPr>
        <w:t xml:space="preserve"> </w:t>
      </w:r>
      <w:r w:rsidR="009F2597" w:rsidRPr="00CF0E68">
        <w:rPr>
          <w:rFonts w:ascii="Arial" w:hAnsi="Arial" w:cs="Arial"/>
          <w:sz w:val="20"/>
          <w:szCs w:val="20"/>
        </w:rPr>
        <w:t>no mercado secundário (compra/venda de títulos públicos)</w:t>
      </w:r>
      <w:r w:rsidR="00C8041C" w:rsidRPr="00CF0E68">
        <w:rPr>
          <w:rFonts w:ascii="Arial" w:hAnsi="Arial" w:cs="Arial"/>
          <w:sz w:val="20"/>
          <w:szCs w:val="20"/>
        </w:rPr>
        <w:t xml:space="preserve"> obedecerá</w:t>
      </w:r>
      <w:r w:rsidR="00BF4C71" w:rsidRPr="00CF0E68">
        <w:rPr>
          <w:rFonts w:ascii="Arial" w:hAnsi="Arial" w:cs="Arial"/>
          <w:sz w:val="20"/>
          <w:szCs w:val="20"/>
        </w:rPr>
        <w:t xml:space="preserve"> ao disposto no §</w:t>
      </w:r>
      <w:r w:rsidR="00282515">
        <w:rPr>
          <w:rFonts w:ascii="Arial" w:hAnsi="Arial" w:cs="Arial"/>
          <w:sz w:val="20"/>
          <w:szCs w:val="20"/>
        </w:rPr>
        <w:t>1</w:t>
      </w:r>
      <w:r w:rsidR="003E76D7">
        <w:rPr>
          <w:rFonts w:ascii="Arial" w:hAnsi="Arial" w:cs="Arial"/>
          <w:sz w:val="20"/>
          <w:szCs w:val="20"/>
        </w:rPr>
        <w:t xml:space="preserve">°do </w:t>
      </w:r>
      <w:r w:rsidR="00BF4C71" w:rsidRPr="00CF0E68">
        <w:rPr>
          <w:rFonts w:ascii="Arial" w:hAnsi="Arial" w:cs="Arial"/>
          <w:sz w:val="20"/>
          <w:szCs w:val="20"/>
        </w:rPr>
        <w:t xml:space="preserve">art. </w:t>
      </w:r>
      <w:r w:rsidR="009A4751">
        <w:rPr>
          <w:rFonts w:ascii="Arial" w:hAnsi="Arial" w:cs="Arial"/>
          <w:sz w:val="20"/>
          <w:szCs w:val="20"/>
        </w:rPr>
        <w:t>7</w:t>
      </w:r>
      <w:r w:rsidR="00282515" w:rsidRPr="00CF0E68">
        <w:rPr>
          <w:rFonts w:ascii="Arial" w:hAnsi="Arial" w:cs="Arial"/>
          <w:sz w:val="20"/>
          <w:szCs w:val="20"/>
        </w:rPr>
        <w:t>°</w:t>
      </w:r>
      <w:r w:rsidR="00BF4C71" w:rsidRPr="00CF0E68">
        <w:rPr>
          <w:rFonts w:ascii="Arial" w:hAnsi="Arial" w:cs="Arial"/>
          <w:sz w:val="20"/>
          <w:szCs w:val="20"/>
        </w:rPr>
        <w:t xml:space="preserve"> da Resolução CMN n° </w:t>
      </w:r>
      <w:r w:rsidR="00282515">
        <w:rPr>
          <w:rFonts w:ascii="Arial" w:hAnsi="Arial" w:cs="Arial"/>
          <w:sz w:val="20"/>
          <w:szCs w:val="20"/>
        </w:rPr>
        <w:t>3.9</w:t>
      </w:r>
      <w:r w:rsidR="009A4751">
        <w:rPr>
          <w:rFonts w:ascii="Arial" w:hAnsi="Arial" w:cs="Arial"/>
          <w:sz w:val="20"/>
          <w:szCs w:val="20"/>
        </w:rPr>
        <w:t>22</w:t>
      </w:r>
      <w:r w:rsidR="00BF4C71" w:rsidRPr="00CF0E68">
        <w:rPr>
          <w:rFonts w:ascii="Arial" w:hAnsi="Arial" w:cs="Arial"/>
          <w:sz w:val="20"/>
          <w:szCs w:val="20"/>
        </w:rPr>
        <w:t>/20</w:t>
      </w:r>
      <w:r w:rsidR="009A4751">
        <w:rPr>
          <w:rFonts w:ascii="Arial" w:hAnsi="Arial" w:cs="Arial"/>
          <w:sz w:val="20"/>
          <w:szCs w:val="20"/>
        </w:rPr>
        <w:t>10</w:t>
      </w:r>
      <w:r w:rsidR="00D276F5" w:rsidRPr="00CF0E68">
        <w:rPr>
          <w:rFonts w:ascii="Arial" w:hAnsi="Arial" w:cs="Arial"/>
          <w:sz w:val="20"/>
          <w:szCs w:val="20"/>
        </w:rPr>
        <w:t xml:space="preserve">e deverão ser </w:t>
      </w:r>
      <w:r w:rsidRPr="00CF0E68">
        <w:rPr>
          <w:rFonts w:ascii="Arial" w:hAnsi="Arial" w:cs="Arial"/>
          <w:sz w:val="20"/>
          <w:szCs w:val="20"/>
        </w:rPr>
        <w:t>registrados no Sistema Especial de Liquidação e de Custódia (SELIC)</w:t>
      </w:r>
      <w:r w:rsidR="005A3E6E" w:rsidRPr="00CF0E68">
        <w:rPr>
          <w:rFonts w:ascii="Arial" w:hAnsi="Arial" w:cs="Arial"/>
          <w:sz w:val="20"/>
          <w:szCs w:val="20"/>
        </w:rPr>
        <w:t xml:space="preserve">, não permitindo compra de títulos com </w:t>
      </w:r>
      <w:r w:rsidR="005447CE" w:rsidRPr="0014132F">
        <w:rPr>
          <w:rFonts w:ascii="Arial" w:hAnsi="Arial" w:cs="Arial"/>
          <w:sz w:val="20"/>
          <w:szCs w:val="20"/>
        </w:rPr>
        <w:t xml:space="preserve">rentabilidade </w:t>
      </w:r>
      <w:r w:rsidR="005A3E6E" w:rsidRPr="0014132F">
        <w:rPr>
          <w:rFonts w:ascii="Arial" w:hAnsi="Arial" w:cs="Arial"/>
          <w:sz w:val="20"/>
          <w:szCs w:val="20"/>
        </w:rPr>
        <w:t xml:space="preserve">inferior </w:t>
      </w:r>
      <w:r w:rsidR="00AF592D" w:rsidRPr="0014132F">
        <w:rPr>
          <w:rFonts w:ascii="Arial" w:hAnsi="Arial" w:cs="Arial"/>
          <w:sz w:val="20"/>
          <w:szCs w:val="20"/>
        </w:rPr>
        <w:t>à</w:t>
      </w:r>
      <w:r w:rsidR="00895FF5">
        <w:rPr>
          <w:rFonts w:ascii="Arial" w:hAnsi="Arial" w:cs="Arial"/>
          <w:sz w:val="20"/>
          <w:szCs w:val="20"/>
        </w:rPr>
        <w:t xml:space="preserve"> </w:t>
      </w:r>
      <w:r w:rsidR="003E76D7" w:rsidRPr="0014132F">
        <w:rPr>
          <w:rFonts w:ascii="Arial" w:hAnsi="Arial" w:cs="Arial"/>
          <w:sz w:val="20"/>
          <w:szCs w:val="20"/>
        </w:rPr>
        <w:t>m</w:t>
      </w:r>
      <w:r w:rsidR="005A3E6E" w:rsidRPr="0014132F">
        <w:rPr>
          <w:rFonts w:ascii="Arial" w:hAnsi="Arial" w:cs="Arial"/>
          <w:sz w:val="20"/>
          <w:szCs w:val="20"/>
        </w:rPr>
        <w:t xml:space="preserve">eta </w:t>
      </w:r>
      <w:r w:rsidR="003E76D7" w:rsidRPr="0014132F">
        <w:rPr>
          <w:rFonts w:ascii="Arial" w:hAnsi="Arial" w:cs="Arial"/>
          <w:sz w:val="20"/>
          <w:szCs w:val="20"/>
        </w:rPr>
        <w:t>a</w:t>
      </w:r>
      <w:r w:rsidR="005A3E6E" w:rsidRPr="0014132F">
        <w:rPr>
          <w:rFonts w:ascii="Arial" w:hAnsi="Arial" w:cs="Arial"/>
          <w:sz w:val="20"/>
          <w:szCs w:val="20"/>
        </w:rPr>
        <w:t>tuarial</w:t>
      </w:r>
      <w:r w:rsidR="005447CE" w:rsidRPr="0014132F">
        <w:rPr>
          <w:rFonts w:ascii="Arial" w:hAnsi="Arial" w:cs="Arial"/>
          <w:sz w:val="20"/>
          <w:szCs w:val="20"/>
        </w:rPr>
        <w:t>, conforme a marcação a mercado</w:t>
      </w:r>
      <w:r w:rsidR="00761E9B" w:rsidRPr="0014132F">
        <w:rPr>
          <w:rFonts w:ascii="Arial" w:hAnsi="Arial" w:cs="Arial"/>
          <w:sz w:val="20"/>
          <w:szCs w:val="20"/>
        </w:rPr>
        <w:t>.</w:t>
      </w:r>
    </w:p>
    <w:p w:rsidR="009E6B3E" w:rsidRPr="00CF0E68" w:rsidRDefault="00A0575E" w:rsidP="005F0A9F">
      <w:pPr>
        <w:autoSpaceDE w:val="0"/>
        <w:autoSpaceDN w:val="0"/>
        <w:adjustRightInd w:val="0"/>
        <w:spacing w:after="120" w:line="312" w:lineRule="auto"/>
        <w:ind w:firstLine="1418"/>
        <w:jc w:val="both"/>
        <w:rPr>
          <w:rFonts w:ascii="Arial" w:hAnsi="Arial" w:cs="Arial"/>
          <w:sz w:val="20"/>
        </w:rPr>
      </w:pPr>
      <w:r w:rsidRPr="00CF0E68">
        <w:rPr>
          <w:rFonts w:ascii="Arial" w:hAnsi="Arial" w:cs="Arial"/>
          <w:sz w:val="20"/>
          <w:szCs w:val="20"/>
        </w:rPr>
        <w:t>É importante salientar que, s</w:t>
      </w:r>
      <w:r w:rsidR="009E6B3E" w:rsidRPr="00CF0E68">
        <w:rPr>
          <w:rFonts w:ascii="Arial" w:hAnsi="Arial" w:cs="Arial"/>
          <w:sz w:val="20"/>
          <w:szCs w:val="20"/>
        </w:rPr>
        <w:t xml:space="preserve">eja qual for </w:t>
      </w:r>
      <w:r w:rsidR="003E76D7">
        <w:rPr>
          <w:rFonts w:ascii="Arial" w:hAnsi="Arial" w:cs="Arial"/>
          <w:sz w:val="20"/>
          <w:szCs w:val="20"/>
        </w:rPr>
        <w:t>a</w:t>
      </w:r>
      <w:r w:rsidR="009E6B3E" w:rsidRPr="00CF0E68">
        <w:rPr>
          <w:rFonts w:ascii="Arial" w:hAnsi="Arial" w:cs="Arial"/>
          <w:sz w:val="20"/>
          <w:szCs w:val="20"/>
        </w:rPr>
        <w:t xml:space="preserve"> alocação de ativos, o mercado terá momentos desfavoráveis</w:t>
      </w:r>
      <w:r w:rsidR="00E35FA6">
        <w:rPr>
          <w:rFonts w:ascii="Arial" w:hAnsi="Arial" w:cs="Arial"/>
          <w:sz w:val="20"/>
          <w:szCs w:val="20"/>
        </w:rPr>
        <w:t xml:space="preserve"> que afetam </w:t>
      </w:r>
      <w:r w:rsidR="009E6B3E" w:rsidRPr="00CF0E68">
        <w:rPr>
          <w:rFonts w:ascii="Arial" w:hAnsi="Arial" w:cs="Arial"/>
          <w:sz w:val="20"/>
          <w:szCs w:val="20"/>
        </w:rPr>
        <w:t>a carteira</w:t>
      </w:r>
      <w:r w:rsidR="00E35FA6">
        <w:rPr>
          <w:rFonts w:ascii="Arial" w:hAnsi="Arial" w:cs="Arial"/>
          <w:sz w:val="20"/>
          <w:szCs w:val="20"/>
        </w:rPr>
        <w:t>, d</w:t>
      </w:r>
      <w:r w:rsidR="009E6B3E" w:rsidRPr="00CF0E68">
        <w:rPr>
          <w:rFonts w:ascii="Arial" w:hAnsi="Arial" w:cs="Arial"/>
          <w:sz w:val="20"/>
          <w:szCs w:val="20"/>
        </w:rPr>
        <w:t xml:space="preserve">aí a necessidade de um horizonte de tempo que possa acomodar essas flutuações e permitir a recuperação da ocorrência de eventuais perdas. Desta forma, </w:t>
      </w:r>
      <w:r w:rsidRPr="00CF0E68">
        <w:rPr>
          <w:rFonts w:ascii="Arial" w:hAnsi="Arial" w:cs="Arial"/>
          <w:sz w:val="20"/>
          <w:szCs w:val="20"/>
        </w:rPr>
        <w:t>a</w:t>
      </w:r>
      <w:r w:rsidR="00895FF5">
        <w:rPr>
          <w:rFonts w:ascii="Arial" w:hAnsi="Arial" w:cs="Arial"/>
          <w:sz w:val="20"/>
          <w:szCs w:val="20"/>
        </w:rPr>
        <w:t xml:space="preserve"> </w:t>
      </w:r>
      <w:r w:rsidRPr="00CF0E68">
        <w:rPr>
          <w:rFonts w:ascii="Arial" w:hAnsi="Arial" w:cs="Arial"/>
          <w:sz w:val="20"/>
          <w:szCs w:val="20"/>
        </w:rPr>
        <w:t>AMPREV</w:t>
      </w:r>
      <w:r w:rsidR="009E6B3E" w:rsidRPr="00CF0E68">
        <w:rPr>
          <w:rFonts w:ascii="Arial" w:hAnsi="Arial" w:cs="Arial"/>
          <w:sz w:val="20"/>
          <w:szCs w:val="20"/>
        </w:rPr>
        <w:t xml:space="preserve"> deve manter</w:t>
      </w:r>
      <w:r w:rsidR="00CE2C88">
        <w:rPr>
          <w:rFonts w:ascii="Arial" w:hAnsi="Arial" w:cs="Arial"/>
          <w:sz w:val="20"/>
          <w:szCs w:val="20"/>
        </w:rPr>
        <w:t>-se</w:t>
      </w:r>
      <w:r w:rsidR="009E6B3E" w:rsidRPr="00CF0E68">
        <w:rPr>
          <w:rFonts w:ascii="Arial" w:hAnsi="Arial" w:cs="Arial"/>
          <w:sz w:val="20"/>
          <w:szCs w:val="20"/>
        </w:rPr>
        <w:t xml:space="preserve"> fiel à política de investimentos definida originalmente </w:t>
      </w:r>
      <w:r w:rsidR="007D79B7">
        <w:rPr>
          <w:rFonts w:ascii="Arial" w:hAnsi="Arial" w:cs="Arial"/>
          <w:sz w:val="20"/>
          <w:szCs w:val="20"/>
        </w:rPr>
        <w:t>a partir do seu perfil de risco</w:t>
      </w:r>
      <w:r w:rsidR="00895FF5">
        <w:rPr>
          <w:rFonts w:ascii="Arial" w:hAnsi="Arial" w:cs="Arial"/>
          <w:sz w:val="20"/>
          <w:szCs w:val="20"/>
        </w:rPr>
        <w:t xml:space="preserve"> </w:t>
      </w:r>
      <w:r w:rsidR="007D79B7">
        <w:rPr>
          <w:rFonts w:ascii="Arial" w:hAnsi="Arial" w:cs="Arial"/>
          <w:sz w:val="20"/>
          <w:szCs w:val="20"/>
        </w:rPr>
        <w:t>e</w:t>
      </w:r>
      <w:r w:rsidR="009E6B3E" w:rsidRPr="00CF0E68">
        <w:rPr>
          <w:rFonts w:ascii="Arial" w:hAnsi="Arial" w:cs="Arial"/>
          <w:sz w:val="20"/>
          <w:szCs w:val="20"/>
        </w:rPr>
        <w:t xml:space="preserve"> de forma organizada, recompor a alocação inicial em momentos de alta (vendendo) ou baixa (comprando) com o objetivo </w:t>
      </w:r>
      <w:r w:rsidR="009E6B3E" w:rsidRPr="0014132F">
        <w:rPr>
          <w:rFonts w:ascii="Arial" w:hAnsi="Arial" w:cs="Arial"/>
          <w:sz w:val="20"/>
          <w:szCs w:val="20"/>
        </w:rPr>
        <w:t>de</w:t>
      </w:r>
      <w:r w:rsidR="005447CE" w:rsidRPr="0014132F">
        <w:rPr>
          <w:rFonts w:ascii="Arial" w:hAnsi="Arial" w:cs="Arial"/>
          <w:sz w:val="20"/>
          <w:szCs w:val="20"/>
        </w:rPr>
        <w:t xml:space="preserve"> equilibrar</w:t>
      </w:r>
      <w:r w:rsidR="00895FF5">
        <w:rPr>
          <w:rFonts w:ascii="Arial" w:hAnsi="Arial" w:cs="Arial"/>
          <w:sz w:val="20"/>
          <w:szCs w:val="20"/>
        </w:rPr>
        <w:t xml:space="preserve"> </w:t>
      </w:r>
      <w:r w:rsidRPr="0014132F">
        <w:rPr>
          <w:rFonts w:ascii="Arial" w:hAnsi="Arial" w:cs="Arial"/>
          <w:sz w:val="20"/>
          <w:szCs w:val="20"/>
        </w:rPr>
        <w:t>sua</w:t>
      </w:r>
      <w:r w:rsidRPr="00CF0E68">
        <w:rPr>
          <w:rFonts w:ascii="Arial" w:hAnsi="Arial" w:cs="Arial"/>
          <w:sz w:val="20"/>
          <w:szCs w:val="20"/>
        </w:rPr>
        <w:t xml:space="preserve"> carteira de investimentos</w:t>
      </w:r>
      <w:r w:rsidR="00E35FA6">
        <w:rPr>
          <w:rFonts w:ascii="Arial" w:hAnsi="Arial" w:cs="Arial"/>
          <w:sz w:val="20"/>
          <w:szCs w:val="20"/>
        </w:rPr>
        <w:t>.</w:t>
      </w:r>
    </w:p>
    <w:p w:rsidR="00EA50EF" w:rsidRPr="002741D3" w:rsidRDefault="00EA50EF" w:rsidP="005F0A9F">
      <w:pPr>
        <w:autoSpaceDE w:val="0"/>
        <w:autoSpaceDN w:val="0"/>
        <w:adjustRightInd w:val="0"/>
        <w:spacing w:after="120" w:line="312" w:lineRule="auto"/>
        <w:ind w:firstLine="1418"/>
        <w:jc w:val="both"/>
        <w:rPr>
          <w:rFonts w:ascii="Arial" w:hAnsi="Arial" w:cs="Arial"/>
          <w:sz w:val="20"/>
          <w:szCs w:val="20"/>
        </w:rPr>
      </w:pPr>
      <w:r w:rsidRPr="0008570F">
        <w:rPr>
          <w:rFonts w:ascii="Arial" w:hAnsi="Arial" w:cs="Arial"/>
          <w:sz w:val="20"/>
          <w:szCs w:val="20"/>
        </w:rPr>
        <w:t>As aplicações realizadas pel</w:t>
      </w:r>
      <w:r w:rsidR="00E74126" w:rsidRPr="0008570F">
        <w:rPr>
          <w:rFonts w:ascii="Arial" w:hAnsi="Arial" w:cs="Arial"/>
          <w:sz w:val="20"/>
          <w:szCs w:val="20"/>
        </w:rPr>
        <w:t>a</w:t>
      </w:r>
      <w:r w:rsidR="00895FF5">
        <w:rPr>
          <w:rFonts w:ascii="Arial" w:hAnsi="Arial" w:cs="Arial"/>
          <w:sz w:val="20"/>
          <w:szCs w:val="20"/>
        </w:rPr>
        <w:t xml:space="preserve"> </w:t>
      </w:r>
      <w:r w:rsidR="00E74126" w:rsidRPr="0008570F">
        <w:rPr>
          <w:rFonts w:ascii="Arial" w:hAnsi="Arial" w:cs="Arial"/>
          <w:sz w:val="20"/>
          <w:szCs w:val="20"/>
        </w:rPr>
        <w:t>AMPREV</w:t>
      </w:r>
      <w:r w:rsidRPr="0008570F">
        <w:rPr>
          <w:rFonts w:ascii="Arial" w:hAnsi="Arial" w:cs="Arial"/>
          <w:sz w:val="20"/>
          <w:szCs w:val="20"/>
        </w:rPr>
        <w:t xml:space="preserve"> passarão por um processo de</w:t>
      </w:r>
      <w:r w:rsidR="00895FF5">
        <w:rPr>
          <w:rFonts w:ascii="Arial" w:hAnsi="Arial" w:cs="Arial"/>
          <w:sz w:val="20"/>
          <w:szCs w:val="20"/>
        </w:rPr>
        <w:t xml:space="preserve"> </w:t>
      </w:r>
      <w:r w:rsidRPr="0008570F">
        <w:rPr>
          <w:rFonts w:ascii="Arial" w:hAnsi="Arial" w:cs="Arial"/>
          <w:sz w:val="20"/>
          <w:szCs w:val="20"/>
        </w:rPr>
        <w:t>análi</w:t>
      </w:r>
      <w:r w:rsidR="001D1A5B" w:rsidRPr="0008570F">
        <w:rPr>
          <w:rFonts w:ascii="Arial" w:hAnsi="Arial" w:cs="Arial"/>
          <w:sz w:val="20"/>
          <w:szCs w:val="20"/>
        </w:rPr>
        <w:t>se, para o qual serão utilizados critérios</w:t>
      </w:r>
      <w:r w:rsidRPr="0008570F">
        <w:rPr>
          <w:rFonts w:ascii="Arial" w:hAnsi="Arial" w:cs="Arial"/>
          <w:sz w:val="20"/>
          <w:szCs w:val="20"/>
        </w:rPr>
        <w:t xml:space="preserve">, como o histórico de fundos de investimento, </w:t>
      </w:r>
      <w:r w:rsidR="000F652C" w:rsidRPr="0008570F">
        <w:rPr>
          <w:rFonts w:ascii="Arial" w:hAnsi="Arial" w:cs="Arial"/>
          <w:sz w:val="20"/>
          <w:szCs w:val="20"/>
        </w:rPr>
        <w:t>abert</w:t>
      </w:r>
      <w:r w:rsidR="0008570F" w:rsidRPr="0008570F">
        <w:rPr>
          <w:rFonts w:ascii="Arial" w:hAnsi="Arial" w:cs="Arial"/>
          <w:sz w:val="20"/>
          <w:szCs w:val="20"/>
        </w:rPr>
        <w:t xml:space="preserve">ura de carteira de </w:t>
      </w:r>
      <w:r w:rsidR="008E6C7C">
        <w:rPr>
          <w:rFonts w:ascii="Arial" w:hAnsi="Arial" w:cs="Arial"/>
          <w:sz w:val="20"/>
          <w:szCs w:val="20"/>
        </w:rPr>
        <w:t xml:space="preserve">fundos de </w:t>
      </w:r>
      <w:r w:rsidR="0008570F" w:rsidRPr="0008570F">
        <w:rPr>
          <w:rFonts w:ascii="Arial" w:hAnsi="Arial" w:cs="Arial"/>
          <w:sz w:val="20"/>
          <w:szCs w:val="20"/>
        </w:rPr>
        <w:t>investimento</w:t>
      </w:r>
      <w:r w:rsidR="000F652C" w:rsidRPr="0008570F">
        <w:rPr>
          <w:rFonts w:ascii="Arial" w:hAnsi="Arial" w:cs="Arial"/>
          <w:sz w:val="20"/>
          <w:szCs w:val="20"/>
        </w:rPr>
        <w:t xml:space="preserve">, </w:t>
      </w:r>
      <w:r w:rsidRPr="0008570F">
        <w:rPr>
          <w:rFonts w:ascii="Arial" w:hAnsi="Arial" w:cs="Arial"/>
          <w:sz w:val="20"/>
          <w:szCs w:val="20"/>
        </w:rPr>
        <w:t>informações</w:t>
      </w:r>
      <w:r w:rsidR="00895FF5">
        <w:rPr>
          <w:rFonts w:ascii="Arial" w:hAnsi="Arial" w:cs="Arial"/>
          <w:sz w:val="20"/>
          <w:szCs w:val="20"/>
        </w:rPr>
        <w:t xml:space="preserve"> </w:t>
      </w:r>
      <w:r w:rsidRPr="0008570F">
        <w:rPr>
          <w:rFonts w:ascii="Arial" w:hAnsi="Arial" w:cs="Arial"/>
          <w:sz w:val="20"/>
          <w:szCs w:val="20"/>
        </w:rPr>
        <w:t xml:space="preserve">de mercado </w:t>
      </w:r>
      <w:r w:rsidRPr="00815C2F">
        <w:rPr>
          <w:rFonts w:ascii="Arial" w:hAnsi="Arial" w:cs="Arial"/>
          <w:b/>
          <w:sz w:val="20"/>
          <w:szCs w:val="20"/>
        </w:rPr>
        <w:t>on-line</w:t>
      </w:r>
      <w:r w:rsidRPr="0008570F">
        <w:rPr>
          <w:rFonts w:ascii="Arial" w:hAnsi="Arial" w:cs="Arial"/>
          <w:sz w:val="20"/>
          <w:szCs w:val="20"/>
        </w:rPr>
        <w:t xml:space="preserve">, pesquisa em </w:t>
      </w:r>
      <w:r w:rsidRPr="00815C2F">
        <w:rPr>
          <w:rFonts w:ascii="Arial" w:hAnsi="Arial" w:cs="Arial"/>
          <w:b/>
          <w:sz w:val="20"/>
          <w:szCs w:val="20"/>
        </w:rPr>
        <w:t>sites</w:t>
      </w:r>
      <w:r w:rsidRPr="0008570F">
        <w:rPr>
          <w:rFonts w:ascii="Arial" w:hAnsi="Arial" w:cs="Arial"/>
          <w:sz w:val="20"/>
          <w:szCs w:val="20"/>
        </w:rPr>
        <w:t xml:space="preserve"> institucionais</w:t>
      </w:r>
      <w:r w:rsidR="00955AA9" w:rsidRPr="0008570F">
        <w:rPr>
          <w:rFonts w:ascii="Arial" w:hAnsi="Arial" w:cs="Arial"/>
          <w:sz w:val="20"/>
          <w:szCs w:val="20"/>
        </w:rPr>
        <w:t>, análise de ris</w:t>
      </w:r>
      <w:r w:rsidR="00955AA9" w:rsidRPr="002741D3">
        <w:rPr>
          <w:rFonts w:ascii="Arial" w:hAnsi="Arial" w:cs="Arial"/>
          <w:sz w:val="20"/>
          <w:szCs w:val="20"/>
        </w:rPr>
        <w:t>co/retorno</w:t>
      </w:r>
      <w:r w:rsidRPr="002741D3">
        <w:rPr>
          <w:rFonts w:ascii="Arial" w:hAnsi="Arial" w:cs="Arial"/>
          <w:sz w:val="20"/>
          <w:szCs w:val="20"/>
        </w:rPr>
        <w:t xml:space="preserve"> e </w:t>
      </w:r>
      <w:r w:rsidR="001F4CB9" w:rsidRPr="002741D3">
        <w:rPr>
          <w:rFonts w:ascii="Arial" w:hAnsi="Arial" w:cs="Arial"/>
          <w:sz w:val="20"/>
          <w:szCs w:val="20"/>
        </w:rPr>
        <w:t xml:space="preserve">outras. </w:t>
      </w:r>
      <w:r w:rsidR="00E35FA6">
        <w:rPr>
          <w:rFonts w:ascii="Arial" w:hAnsi="Arial" w:cs="Arial"/>
          <w:sz w:val="20"/>
          <w:szCs w:val="20"/>
        </w:rPr>
        <w:t>H</w:t>
      </w:r>
      <w:r w:rsidR="001D1A5B" w:rsidRPr="002741D3">
        <w:rPr>
          <w:rFonts w:ascii="Arial" w:hAnsi="Arial" w:cs="Arial"/>
          <w:sz w:val="20"/>
          <w:szCs w:val="20"/>
        </w:rPr>
        <w:t>avendo necessidade</w:t>
      </w:r>
      <w:r w:rsidR="00E35FA6">
        <w:rPr>
          <w:rFonts w:ascii="Arial" w:hAnsi="Arial" w:cs="Arial"/>
          <w:sz w:val="20"/>
          <w:szCs w:val="20"/>
        </w:rPr>
        <w:t xml:space="preserve">, </w:t>
      </w:r>
      <w:r w:rsidR="000D16AF">
        <w:rPr>
          <w:rFonts w:ascii="Arial" w:hAnsi="Arial" w:cs="Arial"/>
          <w:sz w:val="20"/>
          <w:szCs w:val="20"/>
        </w:rPr>
        <w:t xml:space="preserve">somente </w:t>
      </w:r>
      <w:r w:rsidR="001D1A5B" w:rsidRPr="002741D3">
        <w:rPr>
          <w:rFonts w:ascii="Arial" w:hAnsi="Arial" w:cs="Arial"/>
          <w:sz w:val="20"/>
          <w:szCs w:val="20"/>
        </w:rPr>
        <w:t>o Comitê de Investimentos</w:t>
      </w:r>
      <w:r w:rsidR="00E35FA6">
        <w:rPr>
          <w:rFonts w:ascii="Arial" w:hAnsi="Arial" w:cs="Arial"/>
          <w:sz w:val="20"/>
          <w:szCs w:val="20"/>
        </w:rPr>
        <w:t xml:space="preserve"> poderá propor a contratação de </w:t>
      </w:r>
      <w:r w:rsidR="0008570F" w:rsidRPr="002741D3">
        <w:rPr>
          <w:rFonts w:ascii="Arial" w:hAnsi="Arial" w:cs="Arial"/>
          <w:sz w:val="20"/>
          <w:szCs w:val="20"/>
        </w:rPr>
        <w:t xml:space="preserve">serviços </w:t>
      </w:r>
      <w:r w:rsidR="00A638FC" w:rsidRPr="002741D3">
        <w:rPr>
          <w:rFonts w:ascii="Arial" w:hAnsi="Arial" w:cs="Arial"/>
          <w:sz w:val="20"/>
          <w:szCs w:val="20"/>
        </w:rPr>
        <w:t xml:space="preserve">ou produtos </w:t>
      </w:r>
      <w:r w:rsidR="0008570F" w:rsidRPr="002741D3">
        <w:rPr>
          <w:rFonts w:ascii="Arial" w:hAnsi="Arial" w:cs="Arial"/>
          <w:sz w:val="20"/>
          <w:szCs w:val="20"/>
        </w:rPr>
        <w:t xml:space="preserve">de terceiros </w:t>
      </w:r>
      <w:r w:rsidR="00B82A62" w:rsidRPr="002741D3">
        <w:rPr>
          <w:rFonts w:ascii="Arial" w:hAnsi="Arial" w:cs="Arial"/>
          <w:sz w:val="20"/>
          <w:szCs w:val="20"/>
        </w:rPr>
        <w:t xml:space="preserve">(custódia qualificada, </w:t>
      </w:r>
      <w:r w:rsidR="000D16AF">
        <w:rPr>
          <w:rFonts w:ascii="Arial" w:hAnsi="Arial" w:cs="Arial"/>
          <w:sz w:val="20"/>
          <w:szCs w:val="20"/>
        </w:rPr>
        <w:t xml:space="preserve">consultoria, </w:t>
      </w:r>
      <w:r w:rsidR="00B82A62" w:rsidRPr="002741D3">
        <w:rPr>
          <w:rFonts w:ascii="Arial" w:hAnsi="Arial" w:cs="Arial"/>
          <w:sz w:val="20"/>
          <w:szCs w:val="20"/>
        </w:rPr>
        <w:t xml:space="preserve">sistemas e outros), </w:t>
      </w:r>
      <w:r w:rsidR="0008570F" w:rsidRPr="002741D3">
        <w:rPr>
          <w:rFonts w:ascii="Arial" w:hAnsi="Arial" w:cs="Arial"/>
          <w:sz w:val="20"/>
          <w:szCs w:val="20"/>
        </w:rPr>
        <w:t>voltados para a área de investimento</w:t>
      </w:r>
      <w:r w:rsidR="00A638FC" w:rsidRPr="002741D3">
        <w:rPr>
          <w:rFonts w:ascii="Arial" w:hAnsi="Arial" w:cs="Arial"/>
          <w:sz w:val="20"/>
          <w:szCs w:val="20"/>
        </w:rPr>
        <w:t>s</w:t>
      </w:r>
      <w:r w:rsidR="001D1A5B" w:rsidRPr="002741D3">
        <w:rPr>
          <w:rFonts w:ascii="Arial" w:hAnsi="Arial" w:cs="Arial"/>
          <w:sz w:val="20"/>
          <w:szCs w:val="20"/>
        </w:rPr>
        <w:t xml:space="preserve"> no mercado</w:t>
      </w:r>
      <w:r w:rsidR="0008570F" w:rsidRPr="002741D3">
        <w:rPr>
          <w:rFonts w:ascii="Arial" w:hAnsi="Arial" w:cs="Arial"/>
          <w:sz w:val="20"/>
          <w:szCs w:val="20"/>
        </w:rPr>
        <w:t xml:space="preserve"> financeiro</w:t>
      </w:r>
      <w:r w:rsidR="00815C2F">
        <w:rPr>
          <w:rFonts w:ascii="Arial" w:hAnsi="Arial" w:cs="Arial"/>
          <w:sz w:val="20"/>
          <w:szCs w:val="20"/>
        </w:rPr>
        <w:t>,</w:t>
      </w:r>
      <w:r w:rsidR="00B0304E" w:rsidRPr="002741D3">
        <w:rPr>
          <w:rFonts w:ascii="Arial" w:hAnsi="Arial" w:cs="Arial"/>
          <w:sz w:val="20"/>
          <w:szCs w:val="20"/>
        </w:rPr>
        <w:t xml:space="preserve"> em conformidade com a legislação</w:t>
      </w:r>
      <w:r w:rsidR="007F1AF2">
        <w:rPr>
          <w:rFonts w:ascii="Arial" w:hAnsi="Arial" w:cs="Arial"/>
          <w:sz w:val="20"/>
          <w:szCs w:val="20"/>
        </w:rPr>
        <w:t xml:space="preserve"> vigente</w:t>
      </w:r>
      <w:r w:rsidR="0008570F" w:rsidRPr="002741D3">
        <w:rPr>
          <w:rFonts w:ascii="Arial" w:hAnsi="Arial" w:cs="Arial"/>
          <w:sz w:val="20"/>
          <w:szCs w:val="20"/>
        </w:rPr>
        <w:t>.</w:t>
      </w:r>
    </w:p>
    <w:p w:rsidR="00EA50EF" w:rsidRPr="00CF0E68" w:rsidRDefault="00EA50EF" w:rsidP="005F0A9F">
      <w:pPr>
        <w:autoSpaceDE w:val="0"/>
        <w:autoSpaceDN w:val="0"/>
        <w:adjustRightInd w:val="0"/>
        <w:spacing w:after="120" w:line="312" w:lineRule="auto"/>
        <w:ind w:firstLine="1418"/>
        <w:jc w:val="both"/>
        <w:rPr>
          <w:rFonts w:ascii="Arial" w:hAnsi="Arial" w:cs="Arial"/>
          <w:sz w:val="20"/>
          <w:szCs w:val="20"/>
        </w:rPr>
      </w:pPr>
      <w:r w:rsidRPr="00CF0E68">
        <w:rPr>
          <w:rFonts w:ascii="Arial" w:hAnsi="Arial" w:cs="Arial"/>
          <w:sz w:val="20"/>
          <w:szCs w:val="20"/>
        </w:rPr>
        <w:lastRenderedPageBreak/>
        <w:t xml:space="preserve">Além de </w:t>
      </w:r>
      <w:r w:rsidR="007B1F57">
        <w:rPr>
          <w:rFonts w:ascii="Arial" w:hAnsi="Arial" w:cs="Arial"/>
          <w:sz w:val="20"/>
          <w:szCs w:val="20"/>
        </w:rPr>
        <w:t>avaliar</w:t>
      </w:r>
      <w:r w:rsidRPr="00CF0E68">
        <w:rPr>
          <w:rFonts w:ascii="Arial" w:hAnsi="Arial" w:cs="Arial"/>
          <w:sz w:val="20"/>
          <w:szCs w:val="20"/>
        </w:rPr>
        <w:t xml:space="preserve"> o regulamento e o prosp</w:t>
      </w:r>
      <w:r w:rsidR="008A5362">
        <w:rPr>
          <w:rFonts w:ascii="Arial" w:hAnsi="Arial" w:cs="Arial"/>
          <w:sz w:val="20"/>
          <w:szCs w:val="20"/>
        </w:rPr>
        <w:t xml:space="preserve">ecto dos fundos de </w:t>
      </w:r>
      <w:r w:rsidR="001F4CB9">
        <w:rPr>
          <w:rFonts w:ascii="Arial" w:hAnsi="Arial" w:cs="Arial"/>
          <w:sz w:val="20"/>
          <w:szCs w:val="20"/>
        </w:rPr>
        <w:t>investimento</w:t>
      </w:r>
      <w:r w:rsidR="001F4CB9" w:rsidRPr="00CF0E68">
        <w:rPr>
          <w:rFonts w:ascii="Arial" w:hAnsi="Arial" w:cs="Arial"/>
          <w:sz w:val="20"/>
          <w:szCs w:val="20"/>
        </w:rPr>
        <w:t xml:space="preserve">, </w:t>
      </w:r>
      <w:r w:rsidRPr="00CF0E68">
        <w:rPr>
          <w:rFonts w:ascii="Arial" w:hAnsi="Arial" w:cs="Arial"/>
          <w:sz w:val="20"/>
          <w:szCs w:val="20"/>
        </w:rPr>
        <w:t>será feita uma análise do gestor</w:t>
      </w:r>
      <w:r w:rsidR="007B1F57">
        <w:rPr>
          <w:rFonts w:ascii="Arial" w:hAnsi="Arial" w:cs="Arial"/>
          <w:sz w:val="20"/>
          <w:szCs w:val="20"/>
        </w:rPr>
        <w:t xml:space="preserve"> e </w:t>
      </w:r>
      <w:r w:rsidRPr="00CF0E68">
        <w:rPr>
          <w:rFonts w:ascii="Arial" w:hAnsi="Arial" w:cs="Arial"/>
          <w:sz w:val="20"/>
          <w:szCs w:val="20"/>
        </w:rPr>
        <w:t xml:space="preserve">emissor </w:t>
      </w:r>
      <w:r w:rsidR="007B1F57">
        <w:rPr>
          <w:rFonts w:ascii="Arial" w:hAnsi="Arial" w:cs="Arial"/>
          <w:sz w:val="20"/>
          <w:szCs w:val="20"/>
        </w:rPr>
        <w:t>do título e/ou valor mobiliário,</w:t>
      </w:r>
      <w:r w:rsidRPr="00CF0E68">
        <w:rPr>
          <w:rFonts w:ascii="Arial" w:hAnsi="Arial" w:cs="Arial"/>
          <w:sz w:val="20"/>
          <w:szCs w:val="20"/>
        </w:rPr>
        <w:t xml:space="preserve"> da taxa de administração cobrada</w:t>
      </w:r>
      <w:r w:rsidR="00895FF5">
        <w:rPr>
          <w:rFonts w:ascii="Arial" w:hAnsi="Arial" w:cs="Arial"/>
          <w:sz w:val="20"/>
          <w:szCs w:val="20"/>
        </w:rPr>
        <w:t xml:space="preserve"> </w:t>
      </w:r>
      <w:r w:rsidR="007B1F57">
        <w:rPr>
          <w:rFonts w:ascii="Arial" w:hAnsi="Arial" w:cs="Arial"/>
          <w:sz w:val="20"/>
          <w:szCs w:val="20"/>
        </w:rPr>
        <w:t xml:space="preserve">e </w:t>
      </w:r>
      <w:r w:rsidR="008A5362">
        <w:rPr>
          <w:rFonts w:ascii="Arial" w:hAnsi="Arial" w:cs="Arial"/>
          <w:sz w:val="20"/>
          <w:szCs w:val="20"/>
        </w:rPr>
        <w:t xml:space="preserve">dos diversos indicadores de </w:t>
      </w:r>
      <w:r w:rsidR="001F4CB9">
        <w:rPr>
          <w:rFonts w:ascii="Arial" w:hAnsi="Arial" w:cs="Arial"/>
          <w:sz w:val="20"/>
          <w:szCs w:val="20"/>
        </w:rPr>
        <w:t>risco</w:t>
      </w:r>
      <w:r w:rsidR="001F4CB9" w:rsidRPr="00CF0E68">
        <w:rPr>
          <w:rFonts w:ascii="Arial" w:hAnsi="Arial" w:cs="Arial"/>
          <w:sz w:val="20"/>
          <w:szCs w:val="20"/>
        </w:rPr>
        <w:t xml:space="preserve">. </w:t>
      </w:r>
      <w:r w:rsidRPr="00CF0E68">
        <w:rPr>
          <w:rFonts w:ascii="Arial" w:hAnsi="Arial" w:cs="Arial"/>
          <w:sz w:val="20"/>
          <w:szCs w:val="20"/>
        </w:rPr>
        <w:t>Es</w:t>
      </w:r>
      <w:r w:rsidR="00A44233" w:rsidRPr="00CF0E68">
        <w:rPr>
          <w:rFonts w:ascii="Arial" w:hAnsi="Arial" w:cs="Arial"/>
          <w:sz w:val="20"/>
          <w:szCs w:val="20"/>
        </w:rPr>
        <w:t>s</w:t>
      </w:r>
      <w:r w:rsidRPr="00CF0E68">
        <w:rPr>
          <w:rFonts w:ascii="Arial" w:hAnsi="Arial" w:cs="Arial"/>
          <w:sz w:val="20"/>
          <w:szCs w:val="20"/>
        </w:rPr>
        <w:t xml:space="preserve">es investimentos serão </w:t>
      </w:r>
      <w:r w:rsidR="007B1F57">
        <w:rPr>
          <w:rFonts w:ascii="Arial" w:hAnsi="Arial" w:cs="Arial"/>
          <w:sz w:val="20"/>
          <w:szCs w:val="20"/>
        </w:rPr>
        <w:t xml:space="preserve">avaliados </w:t>
      </w:r>
      <w:r w:rsidRPr="00CF0E68">
        <w:rPr>
          <w:rFonts w:ascii="Arial" w:hAnsi="Arial" w:cs="Arial"/>
          <w:sz w:val="20"/>
          <w:szCs w:val="20"/>
        </w:rPr>
        <w:t>através de um</w:t>
      </w:r>
      <w:r w:rsidR="007B1F57">
        <w:rPr>
          <w:rFonts w:ascii="Arial" w:hAnsi="Arial" w:cs="Arial"/>
          <w:sz w:val="20"/>
          <w:szCs w:val="20"/>
        </w:rPr>
        <w:t xml:space="preserve"> acompanhamento de desempenho mensal</w:t>
      </w:r>
      <w:r w:rsidRPr="00CF0E68">
        <w:rPr>
          <w:rFonts w:ascii="Arial" w:hAnsi="Arial" w:cs="Arial"/>
          <w:sz w:val="20"/>
          <w:szCs w:val="20"/>
        </w:rPr>
        <w:t xml:space="preserve"> da</w:t>
      </w:r>
      <w:r w:rsidR="00895FF5">
        <w:rPr>
          <w:rFonts w:ascii="Arial" w:hAnsi="Arial" w:cs="Arial"/>
          <w:sz w:val="20"/>
          <w:szCs w:val="20"/>
        </w:rPr>
        <w:t xml:space="preserve"> </w:t>
      </w:r>
      <w:r w:rsidRPr="00CF0E68">
        <w:rPr>
          <w:rFonts w:ascii="Arial" w:hAnsi="Arial" w:cs="Arial"/>
          <w:sz w:val="20"/>
          <w:szCs w:val="20"/>
        </w:rPr>
        <w:t>carteira consolidada e por aplicação</w:t>
      </w:r>
      <w:r w:rsidR="007B1F57">
        <w:rPr>
          <w:rFonts w:ascii="Arial" w:hAnsi="Arial" w:cs="Arial"/>
          <w:sz w:val="20"/>
          <w:szCs w:val="20"/>
        </w:rPr>
        <w:t xml:space="preserve">, com objetivo de </w:t>
      </w:r>
      <w:r w:rsidRPr="00CF0E68">
        <w:rPr>
          <w:rFonts w:ascii="Arial" w:hAnsi="Arial" w:cs="Arial"/>
          <w:sz w:val="20"/>
          <w:szCs w:val="20"/>
        </w:rPr>
        <w:t>orientar as definições de estratégias e as</w:t>
      </w:r>
      <w:r w:rsidR="00895FF5">
        <w:rPr>
          <w:rFonts w:ascii="Arial" w:hAnsi="Arial" w:cs="Arial"/>
          <w:sz w:val="20"/>
          <w:szCs w:val="20"/>
        </w:rPr>
        <w:t xml:space="preserve"> </w:t>
      </w:r>
      <w:r w:rsidR="0004265F">
        <w:rPr>
          <w:rFonts w:ascii="Arial" w:hAnsi="Arial" w:cs="Arial"/>
          <w:sz w:val="20"/>
          <w:szCs w:val="20"/>
        </w:rPr>
        <w:t>tomadas de decis</w:t>
      </w:r>
      <w:r w:rsidR="003B1AA1">
        <w:rPr>
          <w:rFonts w:ascii="Arial" w:hAnsi="Arial" w:cs="Arial"/>
          <w:sz w:val="20"/>
          <w:szCs w:val="20"/>
        </w:rPr>
        <w:t>ões</w:t>
      </w:r>
      <w:r w:rsidRPr="00CF0E68">
        <w:rPr>
          <w:rFonts w:ascii="Arial" w:hAnsi="Arial" w:cs="Arial"/>
          <w:sz w:val="20"/>
          <w:szCs w:val="20"/>
        </w:rPr>
        <w:t xml:space="preserve">, de forma a </w:t>
      </w:r>
      <w:r w:rsidR="002354ED" w:rsidRPr="00CF0E68">
        <w:rPr>
          <w:rFonts w:ascii="Arial" w:hAnsi="Arial" w:cs="Arial"/>
          <w:sz w:val="20"/>
          <w:szCs w:val="20"/>
        </w:rPr>
        <w:t>aperfeiçoar</w:t>
      </w:r>
      <w:r w:rsidRPr="00CF0E68">
        <w:rPr>
          <w:rFonts w:ascii="Arial" w:hAnsi="Arial" w:cs="Arial"/>
          <w:sz w:val="20"/>
          <w:szCs w:val="20"/>
        </w:rPr>
        <w:t xml:space="preserve"> o retorno da carteira e minimizar</w:t>
      </w:r>
      <w:r w:rsidR="00895FF5">
        <w:rPr>
          <w:rFonts w:ascii="Arial" w:hAnsi="Arial" w:cs="Arial"/>
          <w:sz w:val="20"/>
          <w:szCs w:val="20"/>
        </w:rPr>
        <w:t xml:space="preserve"> </w:t>
      </w:r>
      <w:r w:rsidRPr="00CF0E68">
        <w:rPr>
          <w:rFonts w:ascii="Arial" w:hAnsi="Arial" w:cs="Arial"/>
          <w:sz w:val="20"/>
          <w:szCs w:val="20"/>
        </w:rPr>
        <w:t>riscos.</w:t>
      </w:r>
    </w:p>
    <w:p w:rsidR="00B95B52" w:rsidRPr="00CF0E68" w:rsidRDefault="00EA50EF" w:rsidP="00BE7A92">
      <w:pPr>
        <w:autoSpaceDE w:val="0"/>
        <w:autoSpaceDN w:val="0"/>
        <w:adjustRightInd w:val="0"/>
        <w:spacing w:after="120" w:line="312" w:lineRule="auto"/>
        <w:ind w:firstLine="1418"/>
        <w:jc w:val="both"/>
        <w:rPr>
          <w:rFonts w:ascii="Arial" w:hAnsi="Arial" w:cs="Arial"/>
          <w:sz w:val="20"/>
          <w:szCs w:val="20"/>
        </w:rPr>
      </w:pPr>
      <w:r w:rsidRPr="00CF0E68">
        <w:rPr>
          <w:rFonts w:ascii="Arial" w:hAnsi="Arial" w:cs="Arial"/>
          <w:sz w:val="20"/>
          <w:szCs w:val="20"/>
        </w:rPr>
        <w:t>Em resumo, os investimentos d</w:t>
      </w:r>
      <w:r w:rsidR="00E74126" w:rsidRPr="00CF0E68">
        <w:rPr>
          <w:rFonts w:ascii="Arial" w:hAnsi="Arial" w:cs="Arial"/>
          <w:sz w:val="20"/>
          <w:szCs w:val="20"/>
        </w:rPr>
        <w:t>a</w:t>
      </w:r>
      <w:r w:rsidR="00895FF5">
        <w:rPr>
          <w:rFonts w:ascii="Arial" w:hAnsi="Arial" w:cs="Arial"/>
          <w:sz w:val="20"/>
          <w:szCs w:val="20"/>
        </w:rPr>
        <w:t xml:space="preserve"> </w:t>
      </w:r>
      <w:r w:rsidR="00E74126" w:rsidRPr="0014132F">
        <w:rPr>
          <w:rFonts w:ascii="Arial" w:hAnsi="Arial" w:cs="Arial"/>
          <w:sz w:val="20"/>
          <w:szCs w:val="20"/>
        </w:rPr>
        <w:t>AMPREV</w:t>
      </w:r>
      <w:r w:rsidRPr="0014132F">
        <w:rPr>
          <w:rFonts w:ascii="Arial" w:hAnsi="Arial" w:cs="Arial"/>
          <w:sz w:val="20"/>
          <w:szCs w:val="20"/>
        </w:rPr>
        <w:t xml:space="preserve"> em 20</w:t>
      </w:r>
      <w:r w:rsidR="00C41A5E" w:rsidRPr="0014132F">
        <w:rPr>
          <w:rFonts w:ascii="Arial" w:hAnsi="Arial" w:cs="Arial"/>
          <w:sz w:val="20"/>
          <w:szCs w:val="20"/>
        </w:rPr>
        <w:t>1</w:t>
      </w:r>
      <w:r w:rsidR="006E16D4">
        <w:rPr>
          <w:rFonts w:ascii="Arial" w:hAnsi="Arial" w:cs="Arial"/>
          <w:sz w:val="20"/>
          <w:szCs w:val="20"/>
        </w:rPr>
        <w:t>5</w:t>
      </w:r>
      <w:r w:rsidRPr="0014132F">
        <w:rPr>
          <w:rFonts w:ascii="Arial" w:hAnsi="Arial" w:cs="Arial"/>
          <w:sz w:val="20"/>
          <w:szCs w:val="20"/>
        </w:rPr>
        <w:t xml:space="preserve"> seguir</w:t>
      </w:r>
      <w:r w:rsidR="00647F14" w:rsidRPr="0014132F">
        <w:rPr>
          <w:rFonts w:ascii="Arial" w:hAnsi="Arial" w:cs="Arial"/>
          <w:sz w:val="20"/>
          <w:szCs w:val="20"/>
        </w:rPr>
        <w:t>ão</w:t>
      </w:r>
      <w:r w:rsidRPr="00CF0E68">
        <w:rPr>
          <w:rFonts w:ascii="Arial" w:hAnsi="Arial" w:cs="Arial"/>
          <w:sz w:val="20"/>
          <w:szCs w:val="20"/>
        </w:rPr>
        <w:t xml:space="preserve"> a seguinte</w:t>
      </w:r>
      <w:r w:rsidR="00895FF5">
        <w:rPr>
          <w:rFonts w:ascii="Arial" w:hAnsi="Arial" w:cs="Arial"/>
          <w:sz w:val="20"/>
          <w:szCs w:val="20"/>
        </w:rPr>
        <w:t xml:space="preserve"> </w:t>
      </w:r>
      <w:r w:rsidRPr="00CF0E68">
        <w:rPr>
          <w:rFonts w:ascii="Arial" w:hAnsi="Arial" w:cs="Arial"/>
          <w:sz w:val="20"/>
          <w:szCs w:val="20"/>
        </w:rPr>
        <w:t>distribuição:</w:t>
      </w:r>
    </w:p>
    <w:p w:rsidR="00AF32B6" w:rsidRPr="00324875" w:rsidRDefault="00AF32B6" w:rsidP="00647F14">
      <w:pPr>
        <w:autoSpaceDE w:val="0"/>
        <w:autoSpaceDN w:val="0"/>
        <w:adjustRightInd w:val="0"/>
        <w:spacing w:after="120"/>
        <w:jc w:val="center"/>
        <w:rPr>
          <w:rFonts w:ascii="Arial" w:hAnsi="Arial" w:cs="Arial"/>
          <w:b/>
          <w:smallCaps/>
          <w:sz w:val="20"/>
          <w:szCs w:val="20"/>
        </w:rPr>
      </w:pPr>
      <w:r w:rsidRPr="00324875">
        <w:rPr>
          <w:rFonts w:ascii="Arial" w:hAnsi="Arial" w:cs="Arial"/>
          <w:b/>
          <w:smallCaps/>
          <w:sz w:val="20"/>
          <w:szCs w:val="20"/>
        </w:rPr>
        <w:t>Objetivo de Alocação dos Recursos por Segmento de Aplicação</w:t>
      </w:r>
      <w:r w:rsidR="00934C78" w:rsidRPr="00324875">
        <w:rPr>
          <w:rFonts w:ascii="Arial" w:hAnsi="Arial" w:cs="Arial"/>
          <w:b/>
          <w:smallCaps/>
          <w:sz w:val="20"/>
          <w:szCs w:val="20"/>
        </w:rPr>
        <w:t>:</w:t>
      </w:r>
    </w:p>
    <w:tbl>
      <w:tblPr>
        <w:tblW w:w="8897"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1E0" w:firstRow="1" w:lastRow="1" w:firstColumn="1" w:lastColumn="1" w:noHBand="0" w:noVBand="0"/>
      </w:tblPr>
      <w:tblGrid>
        <w:gridCol w:w="826"/>
        <w:gridCol w:w="558"/>
        <w:gridCol w:w="567"/>
        <w:gridCol w:w="567"/>
        <w:gridCol w:w="709"/>
        <w:gridCol w:w="3118"/>
        <w:gridCol w:w="1134"/>
        <w:gridCol w:w="709"/>
        <w:gridCol w:w="709"/>
      </w:tblGrid>
      <w:tr w:rsidR="00B45DFF" w:rsidRPr="00DB26F9" w:rsidTr="00B45DFF">
        <w:trPr>
          <w:trHeight w:val="397"/>
        </w:trPr>
        <w:tc>
          <w:tcPr>
            <w:tcW w:w="826" w:type="dxa"/>
            <w:tcBorders>
              <w:top w:val="threeDEmboss" w:sz="12" w:space="0" w:color="auto"/>
              <w:bottom w:val="single" w:sz="4" w:space="0" w:color="auto"/>
            </w:tcBorders>
            <w:shd w:val="clear" w:color="auto" w:fill="D6E3BC"/>
            <w:vAlign w:val="center"/>
          </w:tcPr>
          <w:p w:rsidR="004C04D2" w:rsidRPr="00DB26F9" w:rsidRDefault="004C04D2" w:rsidP="00DB26F9">
            <w:pPr>
              <w:ind w:left="-57" w:right="-57"/>
              <w:jc w:val="center"/>
              <w:rPr>
                <w:rFonts w:ascii="Arial" w:hAnsi="Arial" w:cs="Arial"/>
                <w:b/>
                <w:sz w:val="14"/>
                <w:szCs w:val="14"/>
              </w:rPr>
            </w:pPr>
            <w:r w:rsidRPr="00DB26F9">
              <w:rPr>
                <w:rFonts w:ascii="Arial" w:hAnsi="Arial" w:cs="Arial"/>
                <w:b/>
                <w:sz w:val="14"/>
                <w:szCs w:val="14"/>
              </w:rPr>
              <w:t>Segmento</w:t>
            </w:r>
          </w:p>
        </w:tc>
        <w:tc>
          <w:tcPr>
            <w:tcW w:w="558" w:type="dxa"/>
            <w:tcBorders>
              <w:top w:val="threeDEmboss" w:sz="12" w:space="0" w:color="auto"/>
              <w:bottom w:val="single" w:sz="4" w:space="0" w:color="auto"/>
            </w:tcBorders>
            <w:shd w:val="clear" w:color="auto" w:fill="D6E3BC"/>
            <w:vAlign w:val="center"/>
          </w:tcPr>
          <w:p w:rsidR="004C04D2" w:rsidRPr="00DB26F9" w:rsidRDefault="004C04D2" w:rsidP="00DB26F9">
            <w:pPr>
              <w:ind w:left="-57" w:right="-57"/>
              <w:jc w:val="center"/>
              <w:rPr>
                <w:rFonts w:ascii="Arial" w:hAnsi="Arial" w:cs="Arial"/>
                <w:b/>
                <w:sz w:val="14"/>
                <w:szCs w:val="14"/>
              </w:rPr>
            </w:pPr>
            <w:r w:rsidRPr="00DB26F9">
              <w:rPr>
                <w:rFonts w:ascii="Arial" w:hAnsi="Arial" w:cs="Arial"/>
                <w:b/>
                <w:sz w:val="14"/>
                <w:szCs w:val="14"/>
              </w:rPr>
              <w:t>Artigo</w:t>
            </w:r>
          </w:p>
        </w:tc>
        <w:tc>
          <w:tcPr>
            <w:tcW w:w="567" w:type="dxa"/>
            <w:tcBorders>
              <w:top w:val="threeDEmboss" w:sz="12" w:space="0" w:color="auto"/>
              <w:bottom w:val="single" w:sz="4" w:space="0" w:color="auto"/>
            </w:tcBorders>
            <w:shd w:val="clear" w:color="auto" w:fill="D6E3BC"/>
            <w:vAlign w:val="center"/>
          </w:tcPr>
          <w:p w:rsidR="004C04D2"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I</w:t>
            </w:r>
            <w:r w:rsidR="004C04D2" w:rsidRPr="00DB26F9">
              <w:rPr>
                <w:rFonts w:ascii="Arial" w:hAnsi="Arial" w:cs="Arial"/>
                <w:b/>
                <w:sz w:val="14"/>
                <w:szCs w:val="14"/>
              </w:rPr>
              <w:t>nciso</w:t>
            </w:r>
          </w:p>
        </w:tc>
        <w:tc>
          <w:tcPr>
            <w:tcW w:w="567" w:type="dxa"/>
            <w:tcBorders>
              <w:top w:val="threeDEmboss" w:sz="12" w:space="0" w:color="auto"/>
              <w:bottom w:val="single" w:sz="4" w:space="0" w:color="auto"/>
            </w:tcBorders>
            <w:shd w:val="clear" w:color="auto" w:fill="D6E3BC"/>
            <w:vAlign w:val="center"/>
          </w:tcPr>
          <w:p w:rsidR="004C04D2" w:rsidRPr="00DB26F9" w:rsidRDefault="004C04D2" w:rsidP="00DB26F9">
            <w:pPr>
              <w:ind w:left="-57" w:right="-57"/>
              <w:jc w:val="center"/>
              <w:rPr>
                <w:rFonts w:ascii="Arial" w:hAnsi="Arial" w:cs="Arial"/>
                <w:b/>
                <w:sz w:val="14"/>
                <w:szCs w:val="14"/>
              </w:rPr>
            </w:pPr>
            <w:r w:rsidRPr="00DB26F9">
              <w:rPr>
                <w:rFonts w:ascii="Arial" w:hAnsi="Arial" w:cs="Arial"/>
                <w:b/>
                <w:sz w:val="14"/>
                <w:szCs w:val="14"/>
              </w:rPr>
              <w:t>Alínea</w:t>
            </w:r>
          </w:p>
        </w:tc>
        <w:tc>
          <w:tcPr>
            <w:tcW w:w="709" w:type="dxa"/>
            <w:tcBorders>
              <w:top w:val="threeDEmboss" w:sz="12" w:space="0" w:color="auto"/>
              <w:bottom w:val="single" w:sz="4" w:space="0" w:color="auto"/>
            </w:tcBorders>
            <w:shd w:val="clear" w:color="auto" w:fill="D6E3BC"/>
            <w:vAlign w:val="center"/>
          </w:tcPr>
          <w:p w:rsidR="004C04D2" w:rsidRPr="00DB26F9" w:rsidRDefault="004C04D2" w:rsidP="00DB26F9">
            <w:pPr>
              <w:ind w:left="-57" w:right="-57"/>
              <w:jc w:val="center"/>
              <w:rPr>
                <w:rFonts w:ascii="Arial" w:hAnsi="Arial" w:cs="Arial"/>
                <w:b/>
                <w:sz w:val="14"/>
                <w:szCs w:val="14"/>
              </w:rPr>
            </w:pPr>
            <w:r w:rsidRPr="00DB26F9">
              <w:rPr>
                <w:rFonts w:ascii="Arial" w:hAnsi="Arial" w:cs="Arial"/>
                <w:b/>
                <w:sz w:val="14"/>
                <w:szCs w:val="14"/>
              </w:rPr>
              <w:t>Limite</w:t>
            </w:r>
          </w:p>
          <w:p w:rsidR="004C04D2" w:rsidRPr="00DB26F9" w:rsidRDefault="004C04D2" w:rsidP="00B45DFF">
            <w:pPr>
              <w:ind w:left="-57" w:right="-57"/>
              <w:jc w:val="center"/>
              <w:rPr>
                <w:rFonts w:ascii="Arial" w:hAnsi="Arial" w:cs="Arial"/>
                <w:b/>
                <w:sz w:val="14"/>
                <w:szCs w:val="14"/>
              </w:rPr>
            </w:pPr>
            <w:r w:rsidRPr="00DB26F9">
              <w:rPr>
                <w:rFonts w:ascii="Arial" w:hAnsi="Arial" w:cs="Arial"/>
                <w:b/>
                <w:sz w:val="14"/>
                <w:szCs w:val="14"/>
              </w:rPr>
              <w:t>Aplica</w:t>
            </w:r>
            <w:r w:rsidR="00B45DFF">
              <w:rPr>
                <w:rFonts w:ascii="Arial" w:hAnsi="Arial" w:cs="Arial"/>
                <w:b/>
                <w:sz w:val="14"/>
                <w:szCs w:val="14"/>
              </w:rPr>
              <w:t>ç.</w:t>
            </w:r>
          </w:p>
        </w:tc>
        <w:tc>
          <w:tcPr>
            <w:tcW w:w="3118" w:type="dxa"/>
            <w:tcBorders>
              <w:top w:val="threeDEmboss" w:sz="12" w:space="0" w:color="auto"/>
              <w:bottom w:val="single" w:sz="4" w:space="0" w:color="auto"/>
            </w:tcBorders>
            <w:shd w:val="clear" w:color="auto" w:fill="D6E3BC"/>
            <w:vAlign w:val="center"/>
          </w:tcPr>
          <w:p w:rsidR="004C04D2" w:rsidRPr="00DB26F9" w:rsidRDefault="004C04D2" w:rsidP="00DB26F9">
            <w:pPr>
              <w:ind w:left="-57" w:right="-57"/>
              <w:jc w:val="center"/>
              <w:rPr>
                <w:rFonts w:ascii="Arial" w:hAnsi="Arial" w:cs="Arial"/>
                <w:b/>
                <w:sz w:val="14"/>
                <w:szCs w:val="14"/>
              </w:rPr>
            </w:pPr>
            <w:r w:rsidRPr="00DB26F9">
              <w:rPr>
                <w:rFonts w:ascii="Arial" w:hAnsi="Arial" w:cs="Arial"/>
                <w:b/>
                <w:sz w:val="14"/>
                <w:szCs w:val="14"/>
              </w:rPr>
              <w:t>Tipo de Ativo</w:t>
            </w:r>
          </w:p>
        </w:tc>
        <w:tc>
          <w:tcPr>
            <w:tcW w:w="1134" w:type="dxa"/>
            <w:tcBorders>
              <w:top w:val="threeDEmboss" w:sz="12" w:space="0" w:color="auto"/>
              <w:bottom w:val="single" w:sz="4" w:space="0" w:color="auto"/>
            </w:tcBorders>
            <w:shd w:val="clear" w:color="auto" w:fill="D6E3BC"/>
            <w:vAlign w:val="center"/>
          </w:tcPr>
          <w:p w:rsidR="004C04D2" w:rsidRPr="00DB26F9" w:rsidRDefault="004C04D2" w:rsidP="00DB26F9">
            <w:pPr>
              <w:ind w:left="-57" w:right="-57"/>
              <w:jc w:val="center"/>
              <w:rPr>
                <w:rFonts w:ascii="Arial" w:hAnsi="Arial" w:cs="Arial"/>
                <w:b/>
                <w:sz w:val="14"/>
                <w:szCs w:val="14"/>
              </w:rPr>
            </w:pPr>
            <w:r w:rsidRPr="00DB26F9">
              <w:rPr>
                <w:rFonts w:ascii="Arial" w:hAnsi="Arial" w:cs="Arial"/>
                <w:b/>
                <w:sz w:val="14"/>
                <w:szCs w:val="14"/>
              </w:rPr>
              <w:t>Limite de</w:t>
            </w:r>
          </w:p>
          <w:p w:rsidR="004C04D2" w:rsidRPr="00DB26F9" w:rsidRDefault="004C04D2" w:rsidP="00DB26F9">
            <w:pPr>
              <w:ind w:left="-57" w:right="-57"/>
              <w:jc w:val="center"/>
              <w:rPr>
                <w:rFonts w:ascii="Arial" w:hAnsi="Arial" w:cs="Arial"/>
                <w:b/>
                <w:sz w:val="14"/>
                <w:szCs w:val="14"/>
              </w:rPr>
            </w:pPr>
            <w:r w:rsidRPr="00DB26F9">
              <w:rPr>
                <w:rFonts w:ascii="Arial" w:hAnsi="Arial" w:cs="Arial"/>
                <w:b/>
                <w:sz w:val="14"/>
                <w:szCs w:val="14"/>
              </w:rPr>
              <w:t>Diversificação</w:t>
            </w:r>
          </w:p>
        </w:tc>
        <w:tc>
          <w:tcPr>
            <w:tcW w:w="709" w:type="dxa"/>
            <w:tcBorders>
              <w:top w:val="threeDEmboss" w:sz="12" w:space="0" w:color="auto"/>
              <w:bottom w:val="single" w:sz="4" w:space="0" w:color="auto"/>
            </w:tcBorders>
            <w:shd w:val="clear" w:color="auto" w:fill="D6E3BC"/>
            <w:vAlign w:val="center"/>
          </w:tcPr>
          <w:p w:rsidR="004C04D2" w:rsidRPr="00DB26F9" w:rsidRDefault="004C04D2" w:rsidP="00DB26F9">
            <w:pPr>
              <w:ind w:left="-57" w:right="-57"/>
              <w:jc w:val="center"/>
              <w:rPr>
                <w:rFonts w:ascii="Arial" w:hAnsi="Arial" w:cs="Arial"/>
                <w:b/>
                <w:sz w:val="14"/>
                <w:szCs w:val="14"/>
              </w:rPr>
            </w:pPr>
            <w:r w:rsidRPr="00DB26F9">
              <w:rPr>
                <w:rFonts w:ascii="Arial" w:hAnsi="Arial" w:cs="Arial"/>
                <w:b/>
                <w:sz w:val="14"/>
                <w:szCs w:val="14"/>
              </w:rPr>
              <w:t>Limite</w:t>
            </w:r>
          </w:p>
          <w:p w:rsidR="004C04D2" w:rsidRPr="00DB26F9" w:rsidRDefault="004C04D2" w:rsidP="00DB26F9">
            <w:pPr>
              <w:ind w:left="-57" w:right="-57"/>
              <w:jc w:val="center"/>
              <w:rPr>
                <w:rFonts w:ascii="Arial" w:hAnsi="Arial" w:cs="Arial"/>
                <w:b/>
                <w:sz w:val="14"/>
                <w:szCs w:val="14"/>
              </w:rPr>
            </w:pPr>
            <w:r w:rsidRPr="00DB26F9">
              <w:rPr>
                <w:rFonts w:ascii="Arial" w:hAnsi="Arial" w:cs="Arial"/>
                <w:b/>
                <w:sz w:val="14"/>
                <w:szCs w:val="14"/>
              </w:rPr>
              <w:t>Mínimo</w:t>
            </w:r>
          </w:p>
        </w:tc>
        <w:tc>
          <w:tcPr>
            <w:tcW w:w="709" w:type="dxa"/>
            <w:tcBorders>
              <w:top w:val="threeDEmboss" w:sz="12" w:space="0" w:color="auto"/>
              <w:bottom w:val="single" w:sz="4" w:space="0" w:color="auto"/>
            </w:tcBorders>
            <w:shd w:val="clear" w:color="auto" w:fill="D6E3BC"/>
            <w:vAlign w:val="center"/>
          </w:tcPr>
          <w:p w:rsidR="004C04D2" w:rsidRPr="00DB26F9" w:rsidRDefault="004C04D2" w:rsidP="00DB26F9">
            <w:pPr>
              <w:ind w:left="-57" w:right="-57"/>
              <w:jc w:val="center"/>
              <w:rPr>
                <w:rFonts w:ascii="Arial" w:hAnsi="Arial" w:cs="Arial"/>
                <w:b/>
                <w:sz w:val="14"/>
                <w:szCs w:val="14"/>
              </w:rPr>
            </w:pPr>
            <w:r w:rsidRPr="00DB26F9">
              <w:rPr>
                <w:rFonts w:ascii="Arial" w:hAnsi="Arial" w:cs="Arial"/>
                <w:b/>
                <w:sz w:val="14"/>
                <w:szCs w:val="14"/>
              </w:rPr>
              <w:t>Limite</w:t>
            </w:r>
          </w:p>
          <w:p w:rsidR="004C04D2" w:rsidRPr="00DB26F9" w:rsidRDefault="004C04D2" w:rsidP="00DB26F9">
            <w:pPr>
              <w:ind w:left="-57" w:right="-57"/>
              <w:jc w:val="center"/>
              <w:rPr>
                <w:rFonts w:ascii="Arial" w:hAnsi="Arial" w:cs="Arial"/>
                <w:b/>
                <w:sz w:val="14"/>
                <w:szCs w:val="14"/>
              </w:rPr>
            </w:pPr>
            <w:r w:rsidRPr="00DB26F9">
              <w:rPr>
                <w:rFonts w:ascii="Arial" w:hAnsi="Arial" w:cs="Arial"/>
                <w:b/>
                <w:sz w:val="14"/>
                <w:szCs w:val="14"/>
              </w:rPr>
              <w:t>Máximo</w:t>
            </w:r>
          </w:p>
        </w:tc>
      </w:tr>
      <w:tr w:rsidR="00DA6D15" w:rsidRPr="00DB26F9" w:rsidTr="00B45DFF">
        <w:tc>
          <w:tcPr>
            <w:tcW w:w="826" w:type="dxa"/>
            <w:vMerge w:val="restart"/>
            <w:tcBorders>
              <w:top w:val="single" w:sz="4" w:space="0" w:color="auto"/>
            </w:tcBorders>
            <w:textDirection w:val="tbRl"/>
            <w:vAlign w:val="center"/>
          </w:tcPr>
          <w:p w:rsidR="00DA6D15" w:rsidRPr="00DB26F9" w:rsidRDefault="00DA6D15" w:rsidP="00DB26F9">
            <w:pPr>
              <w:ind w:left="113" w:right="113"/>
              <w:jc w:val="center"/>
              <w:rPr>
                <w:rFonts w:ascii="Arial" w:hAnsi="Arial" w:cs="Arial"/>
                <w:b/>
                <w:sz w:val="16"/>
                <w:szCs w:val="16"/>
              </w:rPr>
            </w:pPr>
            <w:r w:rsidRPr="00DB26F9">
              <w:rPr>
                <w:rFonts w:ascii="Arial" w:hAnsi="Arial" w:cs="Arial"/>
                <w:b/>
                <w:sz w:val="16"/>
                <w:szCs w:val="16"/>
              </w:rPr>
              <w:t>RENDA FIXA</w:t>
            </w:r>
          </w:p>
          <w:p w:rsidR="00DA6D15" w:rsidRPr="00DB26F9" w:rsidRDefault="00DA6D15" w:rsidP="00DB26F9">
            <w:pPr>
              <w:ind w:left="-57" w:right="-57"/>
              <w:jc w:val="center"/>
              <w:rPr>
                <w:rFonts w:ascii="Arial" w:hAnsi="Arial" w:cs="Arial"/>
                <w:b/>
                <w:sz w:val="12"/>
                <w:szCs w:val="12"/>
              </w:rPr>
            </w:pPr>
            <w:r w:rsidRPr="00DB26F9">
              <w:rPr>
                <w:rFonts w:ascii="Arial" w:hAnsi="Arial" w:cs="Arial"/>
                <w:b/>
                <w:sz w:val="16"/>
                <w:szCs w:val="16"/>
              </w:rPr>
              <w:t>(Máximo 100%)</w:t>
            </w:r>
          </w:p>
        </w:tc>
        <w:tc>
          <w:tcPr>
            <w:tcW w:w="558" w:type="dxa"/>
            <w:vMerge w:val="restart"/>
            <w:tcBorders>
              <w:top w:val="single" w:sz="4" w:space="0" w:color="auto"/>
            </w:tcBorders>
            <w:vAlign w:val="center"/>
          </w:tcPr>
          <w:p w:rsidR="00DA6D15" w:rsidRPr="00DB26F9" w:rsidRDefault="00DA6D15" w:rsidP="00DB26F9">
            <w:pPr>
              <w:jc w:val="center"/>
              <w:rPr>
                <w:rFonts w:ascii="Arial" w:hAnsi="Arial" w:cs="Arial"/>
                <w:sz w:val="16"/>
                <w:szCs w:val="16"/>
              </w:rPr>
            </w:pPr>
            <w:r>
              <w:rPr>
                <w:rFonts w:ascii="Arial" w:hAnsi="Arial" w:cs="Arial"/>
                <w:sz w:val="16"/>
                <w:szCs w:val="16"/>
              </w:rPr>
              <w:t>7</w:t>
            </w:r>
            <w:r w:rsidRPr="00DB26F9">
              <w:rPr>
                <w:rFonts w:ascii="Arial" w:hAnsi="Arial" w:cs="Arial"/>
                <w:sz w:val="16"/>
                <w:szCs w:val="16"/>
              </w:rPr>
              <w:t>º</w:t>
            </w:r>
          </w:p>
        </w:tc>
        <w:tc>
          <w:tcPr>
            <w:tcW w:w="567" w:type="dxa"/>
            <w:vMerge w:val="restart"/>
            <w:tcBorders>
              <w:top w:val="single" w:sz="4" w:space="0" w:color="auto"/>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I</w:t>
            </w:r>
          </w:p>
        </w:tc>
        <w:tc>
          <w:tcPr>
            <w:tcW w:w="567" w:type="dxa"/>
            <w:tcBorders>
              <w:top w:val="single" w:sz="4" w:space="0" w:color="auto"/>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a</w:t>
            </w:r>
          </w:p>
        </w:tc>
        <w:tc>
          <w:tcPr>
            <w:tcW w:w="709" w:type="dxa"/>
            <w:tcBorders>
              <w:top w:val="single" w:sz="4" w:space="0" w:color="auto"/>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100%</w:t>
            </w:r>
          </w:p>
        </w:tc>
        <w:tc>
          <w:tcPr>
            <w:tcW w:w="3118" w:type="dxa"/>
            <w:tcBorders>
              <w:top w:val="single" w:sz="4" w:space="0" w:color="auto"/>
            </w:tcBorders>
            <w:vAlign w:val="center"/>
          </w:tcPr>
          <w:p w:rsidR="00DA6D15" w:rsidRPr="00DB26F9" w:rsidRDefault="00DA6D15" w:rsidP="00DB26F9">
            <w:pPr>
              <w:ind w:left="-57" w:right="-57"/>
              <w:jc w:val="both"/>
              <w:rPr>
                <w:rFonts w:ascii="Arial" w:hAnsi="Arial" w:cs="Arial"/>
                <w:sz w:val="14"/>
                <w:szCs w:val="14"/>
              </w:rPr>
            </w:pPr>
            <w:r w:rsidRPr="00DB26F9">
              <w:rPr>
                <w:rFonts w:ascii="Arial" w:hAnsi="Arial" w:cs="Arial"/>
                <w:sz w:val="14"/>
                <w:szCs w:val="14"/>
              </w:rPr>
              <w:t>Títulos de Emissão do Tesouro Nacional (custódia SELIC)</w:t>
            </w:r>
          </w:p>
        </w:tc>
        <w:tc>
          <w:tcPr>
            <w:tcW w:w="1134" w:type="dxa"/>
            <w:tcBorders>
              <w:top w:val="single" w:sz="4" w:space="0" w:color="auto"/>
            </w:tcBorders>
            <w:vAlign w:val="center"/>
          </w:tcPr>
          <w:p w:rsidR="00DA6D15" w:rsidRPr="00DB26F9" w:rsidRDefault="00DA6D15" w:rsidP="00DB26F9">
            <w:pPr>
              <w:ind w:left="-113" w:right="-113"/>
              <w:jc w:val="center"/>
              <w:rPr>
                <w:rFonts w:ascii="Arial" w:hAnsi="Arial" w:cs="Arial"/>
                <w:sz w:val="16"/>
                <w:szCs w:val="16"/>
              </w:rPr>
            </w:pPr>
            <w:r>
              <w:rPr>
                <w:rFonts w:ascii="Arial" w:hAnsi="Arial" w:cs="Arial"/>
                <w:sz w:val="16"/>
                <w:szCs w:val="16"/>
              </w:rPr>
              <w:t>-</w:t>
            </w:r>
          </w:p>
        </w:tc>
        <w:tc>
          <w:tcPr>
            <w:tcW w:w="709" w:type="dxa"/>
            <w:tcBorders>
              <w:top w:val="single" w:sz="4" w:space="0" w:color="auto"/>
            </w:tcBorders>
            <w:vAlign w:val="center"/>
          </w:tcPr>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0%</w:t>
            </w:r>
          </w:p>
        </w:tc>
        <w:tc>
          <w:tcPr>
            <w:tcW w:w="709" w:type="dxa"/>
            <w:tcBorders>
              <w:top w:val="single" w:sz="4" w:space="0" w:color="auto"/>
            </w:tcBorders>
            <w:vAlign w:val="center"/>
          </w:tcPr>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100%</w:t>
            </w:r>
          </w:p>
        </w:tc>
      </w:tr>
      <w:tr w:rsidR="00DA6D15" w:rsidRPr="00DB26F9" w:rsidTr="00B45DFF">
        <w:tc>
          <w:tcPr>
            <w:tcW w:w="826" w:type="dxa"/>
            <w:vMerge/>
            <w:vAlign w:val="center"/>
          </w:tcPr>
          <w:p w:rsidR="00DA6D15" w:rsidRPr="00DB26F9" w:rsidRDefault="00DA6D15" w:rsidP="00DB26F9">
            <w:pPr>
              <w:jc w:val="center"/>
              <w:rPr>
                <w:rFonts w:ascii="Arial" w:hAnsi="Arial" w:cs="Arial"/>
                <w:sz w:val="16"/>
                <w:szCs w:val="16"/>
              </w:rPr>
            </w:pPr>
          </w:p>
        </w:tc>
        <w:tc>
          <w:tcPr>
            <w:tcW w:w="558" w:type="dxa"/>
            <w:vMerge/>
            <w:vAlign w:val="center"/>
          </w:tcPr>
          <w:p w:rsidR="00DA6D15" w:rsidRPr="00DB26F9" w:rsidRDefault="00DA6D15" w:rsidP="00DB26F9">
            <w:pPr>
              <w:jc w:val="center"/>
              <w:rPr>
                <w:rFonts w:ascii="Arial" w:hAnsi="Arial" w:cs="Arial"/>
                <w:sz w:val="16"/>
                <w:szCs w:val="16"/>
              </w:rPr>
            </w:pPr>
          </w:p>
        </w:tc>
        <w:tc>
          <w:tcPr>
            <w:tcW w:w="567" w:type="dxa"/>
            <w:vMerge/>
            <w:vAlign w:val="center"/>
          </w:tcPr>
          <w:p w:rsidR="00DA6D15" w:rsidRPr="00DB26F9" w:rsidRDefault="00DA6D15" w:rsidP="00DB26F9">
            <w:pPr>
              <w:jc w:val="center"/>
              <w:rPr>
                <w:rFonts w:ascii="Arial" w:hAnsi="Arial" w:cs="Arial"/>
                <w:sz w:val="16"/>
                <w:szCs w:val="16"/>
              </w:rPr>
            </w:pPr>
          </w:p>
        </w:tc>
        <w:tc>
          <w:tcPr>
            <w:tcW w:w="567" w:type="dxa"/>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b</w:t>
            </w:r>
          </w:p>
        </w:tc>
        <w:tc>
          <w:tcPr>
            <w:tcW w:w="709" w:type="dxa"/>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100%</w:t>
            </w:r>
          </w:p>
        </w:tc>
        <w:tc>
          <w:tcPr>
            <w:tcW w:w="3118" w:type="dxa"/>
            <w:vAlign w:val="center"/>
          </w:tcPr>
          <w:p w:rsidR="00DA6D15" w:rsidRPr="00DB26F9" w:rsidRDefault="00DA6D15" w:rsidP="00814244">
            <w:pPr>
              <w:ind w:left="-57" w:right="-57"/>
              <w:jc w:val="both"/>
              <w:rPr>
                <w:rFonts w:ascii="Arial" w:hAnsi="Arial" w:cs="Arial"/>
                <w:sz w:val="14"/>
                <w:szCs w:val="14"/>
              </w:rPr>
            </w:pPr>
            <w:r w:rsidRPr="00DB26F9">
              <w:rPr>
                <w:rFonts w:ascii="Arial" w:hAnsi="Arial" w:cs="Arial"/>
                <w:bCs/>
                <w:sz w:val="14"/>
                <w:szCs w:val="14"/>
              </w:rPr>
              <w:t>Cotas de fundos de investimento</w:t>
            </w:r>
            <w:r>
              <w:rPr>
                <w:rFonts w:ascii="Arial" w:hAnsi="Arial" w:cs="Arial"/>
                <w:bCs/>
                <w:sz w:val="14"/>
                <w:szCs w:val="14"/>
              </w:rPr>
              <w:t xml:space="preserve">, constituídos sob a forma de condomínio aberto, cujos regulamentos prevejam que suas respectivas carteiras sejam representadas exclusivamente pelos títulos definidos na alínea “a” deste inciso e cuja política de investimento assuma o compromisso de buscar o retorno de um dos subíndices do Ìndice de Mercado Anbima (IMA) ou do Ìndice de Duração constante Anbima (IDkA), com exceção de qualquer subíndice atrelado à taxa de juros de um dia. </w:t>
            </w:r>
          </w:p>
        </w:tc>
        <w:tc>
          <w:tcPr>
            <w:tcW w:w="1134" w:type="dxa"/>
            <w:vAlign w:val="center"/>
          </w:tcPr>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2</w:t>
            </w:r>
            <w:r>
              <w:rPr>
                <w:rFonts w:ascii="Arial" w:hAnsi="Arial" w:cs="Arial"/>
                <w:sz w:val="16"/>
                <w:szCs w:val="16"/>
              </w:rPr>
              <w:t>5</w:t>
            </w:r>
            <w:r w:rsidRPr="00DB26F9">
              <w:rPr>
                <w:rFonts w:ascii="Arial" w:hAnsi="Arial" w:cs="Arial"/>
                <w:sz w:val="16"/>
                <w:szCs w:val="16"/>
              </w:rPr>
              <w:t>% PL FI</w:t>
            </w:r>
          </w:p>
          <w:p w:rsidR="00DA6D15" w:rsidRPr="00DB26F9" w:rsidRDefault="00DA6D15" w:rsidP="00DB26F9">
            <w:pPr>
              <w:ind w:left="-113" w:right="-113"/>
              <w:jc w:val="center"/>
              <w:rPr>
                <w:rFonts w:ascii="Arial" w:hAnsi="Arial" w:cs="Arial"/>
                <w:sz w:val="16"/>
                <w:szCs w:val="16"/>
              </w:rPr>
            </w:pPr>
          </w:p>
        </w:tc>
        <w:tc>
          <w:tcPr>
            <w:tcW w:w="709" w:type="dxa"/>
            <w:vAlign w:val="center"/>
          </w:tcPr>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0%</w:t>
            </w:r>
          </w:p>
        </w:tc>
        <w:tc>
          <w:tcPr>
            <w:tcW w:w="709" w:type="dxa"/>
            <w:vAlign w:val="center"/>
          </w:tcPr>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100%</w:t>
            </w:r>
          </w:p>
        </w:tc>
      </w:tr>
      <w:tr w:rsidR="00DA6D15" w:rsidRPr="00DB26F9" w:rsidTr="00B45DFF">
        <w:trPr>
          <w:trHeight w:val="547"/>
        </w:trPr>
        <w:tc>
          <w:tcPr>
            <w:tcW w:w="826" w:type="dxa"/>
            <w:vMerge/>
            <w:vAlign w:val="center"/>
          </w:tcPr>
          <w:p w:rsidR="00DA6D15" w:rsidRPr="00DB26F9" w:rsidRDefault="00DA6D15" w:rsidP="00DB26F9">
            <w:pPr>
              <w:jc w:val="center"/>
              <w:rPr>
                <w:rFonts w:ascii="Arial" w:hAnsi="Arial" w:cs="Arial"/>
                <w:sz w:val="16"/>
                <w:szCs w:val="16"/>
              </w:rPr>
            </w:pPr>
          </w:p>
        </w:tc>
        <w:tc>
          <w:tcPr>
            <w:tcW w:w="558" w:type="dxa"/>
            <w:vMerge/>
            <w:vAlign w:val="center"/>
          </w:tcPr>
          <w:p w:rsidR="00DA6D15" w:rsidRPr="00DB26F9" w:rsidRDefault="00DA6D15" w:rsidP="00DB26F9">
            <w:pPr>
              <w:jc w:val="center"/>
              <w:rPr>
                <w:rFonts w:ascii="Arial" w:hAnsi="Arial" w:cs="Arial"/>
                <w:sz w:val="16"/>
                <w:szCs w:val="16"/>
              </w:rPr>
            </w:pPr>
          </w:p>
        </w:tc>
        <w:tc>
          <w:tcPr>
            <w:tcW w:w="567" w:type="dxa"/>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II</w:t>
            </w:r>
          </w:p>
        </w:tc>
        <w:tc>
          <w:tcPr>
            <w:tcW w:w="567" w:type="dxa"/>
            <w:vAlign w:val="center"/>
          </w:tcPr>
          <w:p w:rsidR="00DA6D15" w:rsidRPr="00DB26F9" w:rsidRDefault="00DA6D15" w:rsidP="00DB26F9">
            <w:pPr>
              <w:jc w:val="center"/>
              <w:rPr>
                <w:rFonts w:ascii="Arial" w:hAnsi="Arial" w:cs="Arial"/>
                <w:sz w:val="16"/>
                <w:szCs w:val="16"/>
              </w:rPr>
            </w:pPr>
          </w:p>
        </w:tc>
        <w:tc>
          <w:tcPr>
            <w:tcW w:w="709" w:type="dxa"/>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15%</w:t>
            </w:r>
          </w:p>
        </w:tc>
        <w:tc>
          <w:tcPr>
            <w:tcW w:w="3118" w:type="dxa"/>
            <w:vAlign w:val="center"/>
          </w:tcPr>
          <w:p w:rsidR="00DA6D15" w:rsidRPr="00DB26F9" w:rsidRDefault="00DA6D15" w:rsidP="00DB26F9">
            <w:pPr>
              <w:ind w:left="-57" w:right="-57"/>
              <w:jc w:val="both"/>
              <w:rPr>
                <w:rFonts w:ascii="Arial" w:hAnsi="Arial" w:cs="Arial"/>
                <w:sz w:val="14"/>
                <w:szCs w:val="14"/>
              </w:rPr>
            </w:pPr>
            <w:r>
              <w:rPr>
                <w:rFonts w:ascii="Arial" w:hAnsi="Arial" w:cs="Arial"/>
                <w:bCs/>
                <w:sz w:val="14"/>
                <w:szCs w:val="14"/>
              </w:rPr>
              <w:t>E</w:t>
            </w:r>
            <w:r w:rsidRPr="00DB26F9">
              <w:rPr>
                <w:rFonts w:ascii="Arial" w:hAnsi="Arial" w:cs="Arial"/>
                <w:bCs/>
                <w:sz w:val="14"/>
                <w:szCs w:val="14"/>
              </w:rPr>
              <w:t xml:space="preserve">m </w:t>
            </w:r>
            <w:r w:rsidRPr="00DB26F9">
              <w:rPr>
                <w:rFonts w:ascii="Arial" w:hAnsi="Arial" w:cs="Arial"/>
                <w:sz w:val="14"/>
                <w:szCs w:val="14"/>
              </w:rPr>
              <w:t>operações compromissadas, lastreadas exclusivamente pelos títulos definidos na alínea "a" do inciso I</w:t>
            </w:r>
          </w:p>
        </w:tc>
        <w:tc>
          <w:tcPr>
            <w:tcW w:w="1134" w:type="dxa"/>
            <w:vAlign w:val="center"/>
          </w:tcPr>
          <w:p w:rsidR="00DA6D15" w:rsidRPr="00DB26F9" w:rsidRDefault="00DA6D15" w:rsidP="00DB26F9">
            <w:pPr>
              <w:ind w:left="-113" w:right="-113"/>
              <w:jc w:val="center"/>
              <w:rPr>
                <w:rFonts w:ascii="Arial" w:hAnsi="Arial" w:cs="Arial"/>
                <w:sz w:val="16"/>
                <w:szCs w:val="16"/>
              </w:rPr>
            </w:pPr>
            <w:r>
              <w:rPr>
                <w:rFonts w:ascii="Arial" w:hAnsi="Arial" w:cs="Arial"/>
                <w:sz w:val="16"/>
                <w:szCs w:val="16"/>
              </w:rPr>
              <w:t>-</w:t>
            </w:r>
          </w:p>
        </w:tc>
        <w:tc>
          <w:tcPr>
            <w:tcW w:w="709" w:type="dxa"/>
            <w:vAlign w:val="center"/>
          </w:tcPr>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0%</w:t>
            </w:r>
          </w:p>
        </w:tc>
        <w:tc>
          <w:tcPr>
            <w:tcW w:w="709" w:type="dxa"/>
            <w:vAlign w:val="center"/>
          </w:tcPr>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15%</w:t>
            </w:r>
          </w:p>
        </w:tc>
      </w:tr>
      <w:tr w:rsidR="00DA6D15" w:rsidRPr="00DB26F9" w:rsidTr="00B45DFF">
        <w:trPr>
          <w:trHeight w:val="547"/>
        </w:trPr>
        <w:tc>
          <w:tcPr>
            <w:tcW w:w="826" w:type="dxa"/>
            <w:vMerge/>
            <w:vAlign w:val="center"/>
          </w:tcPr>
          <w:p w:rsidR="00DA6D15" w:rsidRPr="00DB26F9" w:rsidRDefault="00DA6D15" w:rsidP="00DB26F9">
            <w:pPr>
              <w:jc w:val="center"/>
              <w:rPr>
                <w:rFonts w:ascii="Arial" w:hAnsi="Arial" w:cs="Arial"/>
                <w:sz w:val="16"/>
                <w:szCs w:val="16"/>
              </w:rPr>
            </w:pPr>
          </w:p>
        </w:tc>
        <w:tc>
          <w:tcPr>
            <w:tcW w:w="558" w:type="dxa"/>
            <w:vMerge/>
            <w:vAlign w:val="center"/>
          </w:tcPr>
          <w:p w:rsidR="00DA6D15" w:rsidRPr="00DB26F9" w:rsidRDefault="00DA6D15" w:rsidP="00DB26F9">
            <w:pPr>
              <w:jc w:val="center"/>
              <w:rPr>
                <w:rFonts w:ascii="Arial" w:hAnsi="Arial" w:cs="Arial"/>
                <w:sz w:val="16"/>
                <w:szCs w:val="16"/>
              </w:rPr>
            </w:pPr>
          </w:p>
        </w:tc>
        <w:tc>
          <w:tcPr>
            <w:tcW w:w="567" w:type="dxa"/>
            <w:vAlign w:val="center"/>
          </w:tcPr>
          <w:p w:rsidR="00DA6D15" w:rsidRPr="00DB26F9" w:rsidRDefault="00DA6D15" w:rsidP="00DB26F9">
            <w:pPr>
              <w:jc w:val="center"/>
              <w:rPr>
                <w:rFonts w:ascii="Arial" w:hAnsi="Arial" w:cs="Arial"/>
                <w:sz w:val="16"/>
                <w:szCs w:val="16"/>
              </w:rPr>
            </w:pPr>
            <w:r>
              <w:rPr>
                <w:rFonts w:ascii="Arial" w:hAnsi="Arial" w:cs="Arial"/>
                <w:sz w:val="16"/>
                <w:szCs w:val="16"/>
              </w:rPr>
              <w:t>III</w:t>
            </w:r>
          </w:p>
        </w:tc>
        <w:tc>
          <w:tcPr>
            <w:tcW w:w="567" w:type="dxa"/>
            <w:vAlign w:val="center"/>
          </w:tcPr>
          <w:p w:rsidR="00DA6D15" w:rsidRPr="00DB26F9" w:rsidRDefault="00DA6D15" w:rsidP="00DB26F9">
            <w:pPr>
              <w:jc w:val="center"/>
              <w:rPr>
                <w:rFonts w:ascii="Arial" w:hAnsi="Arial" w:cs="Arial"/>
                <w:sz w:val="16"/>
                <w:szCs w:val="16"/>
              </w:rPr>
            </w:pPr>
          </w:p>
        </w:tc>
        <w:tc>
          <w:tcPr>
            <w:tcW w:w="709" w:type="dxa"/>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80%</w:t>
            </w:r>
          </w:p>
        </w:tc>
        <w:tc>
          <w:tcPr>
            <w:tcW w:w="3118" w:type="dxa"/>
            <w:vAlign w:val="center"/>
          </w:tcPr>
          <w:p w:rsidR="00DA6D15" w:rsidRPr="00DB26F9" w:rsidRDefault="00DA6D15" w:rsidP="00814244">
            <w:pPr>
              <w:ind w:left="-57" w:right="-57"/>
              <w:jc w:val="both"/>
              <w:rPr>
                <w:rFonts w:ascii="Arial" w:hAnsi="Arial" w:cs="Arial"/>
                <w:bCs/>
                <w:sz w:val="14"/>
                <w:szCs w:val="14"/>
              </w:rPr>
            </w:pPr>
            <w:r w:rsidRPr="00DB26F9">
              <w:rPr>
                <w:rFonts w:ascii="Arial" w:hAnsi="Arial" w:cs="Arial"/>
                <w:bCs/>
                <w:sz w:val="14"/>
                <w:szCs w:val="14"/>
              </w:rPr>
              <w:t>C</w:t>
            </w:r>
            <w:r w:rsidR="0023521B">
              <w:rPr>
                <w:rFonts w:ascii="Arial" w:hAnsi="Arial" w:cs="Arial"/>
                <w:bCs/>
                <w:sz w:val="14"/>
                <w:szCs w:val="14"/>
              </w:rPr>
              <w:t xml:space="preserve">otas de fundos de investimento </w:t>
            </w:r>
            <w:r w:rsidRPr="00DB26F9">
              <w:rPr>
                <w:rFonts w:ascii="Arial" w:hAnsi="Arial" w:cs="Arial"/>
                <w:bCs/>
                <w:sz w:val="14"/>
                <w:szCs w:val="14"/>
              </w:rPr>
              <w:t xml:space="preserve">classificados como renda fixa ou </w:t>
            </w:r>
            <w:r>
              <w:rPr>
                <w:rFonts w:ascii="Arial" w:hAnsi="Arial" w:cs="Arial"/>
                <w:bCs/>
                <w:sz w:val="14"/>
                <w:szCs w:val="14"/>
              </w:rPr>
              <w:t xml:space="preserve">como </w:t>
            </w:r>
            <w:r w:rsidRPr="00DB26F9">
              <w:rPr>
                <w:rFonts w:ascii="Arial" w:hAnsi="Arial" w:cs="Arial"/>
                <w:bCs/>
                <w:sz w:val="14"/>
                <w:szCs w:val="14"/>
              </w:rPr>
              <w:t>referenciado em indicadores de desempenho de renda fixa</w:t>
            </w:r>
            <w:r w:rsidRPr="00DB26F9">
              <w:rPr>
                <w:rFonts w:ascii="Arial" w:hAnsi="Arial" w:cs="Arial"/>
                <w:sz w:val="14"/>
                <w:szCs w:val="14"/>
              </w:rPr>
              <w:t xml:space="preserve">, constituídos sob a forma de condomínio aberto </w:t>
            </w:r>
            <w:r w:rsidR="0023521B">
              <w:rPr>
                <w:rFonts w:ascii="Arial" w:hAnsi="Arial" w:cs="Arial"/>
                <w:sz w:val="14"/>
                <w:szCs w:val="14"/>
              </w:rPr>
              <w:t xml:space="preserve">e cuja </w:t>
            </w:r>
            <w:r>
              <w:rPr>
                <w:rFonts w:ascii="Arial" w:hAnsi="Arial" w:cs="Arial"/>
                <w:sz w:val="14"/>
                <w:szCs w:val="14"/>
              </w:rPr>
              <w:t xml:space="preserve">política de investimento assuma o compromisso de buscar o retorno de um dos subíndice do Índice de Mercado Anbima (IMA) ou do Índice </w:t>
            </w:r>
            <w:r>
              <w:rPr>
                <w:rFonts w:ascii="Arial" w:hAnsi="Arial" w:cs="Arial"/>
                <w:bCs/>
                <w:sz w:val="14"/>
                <w:szCs w:val="14"/>
              </w:rPr>
              <w:t>de Duração constante Anbima (IDkA), com exceção de qualquer subíndice atrelado à taxa de juros de um dia.</w:t>
            </w:r>
          </w:p>
        </w:tc>
        <w:tc>
          <w:tcPr>
            <w:tcW w:w="1134" w:type="dxa"/>
            <w:vAlign w:val="center"/>
          </w:tcPr>
          <w:p w:rsidR="00DA6D15" w:rsidRPr="00DB26F9" w:rsidRDefault="00DA6D15" w:rsidP="00DB26F9">
            <w:pPr>
              <w:ind w:left="-113" w:right="-113"/>
              <w:jc w:val="center"/>
              <w:rPr>
                <w:rFonts w:ascii="Arial" w:hAnsi="Arial" w:cs="Arial"/>
                <w:bCs/>
                <w:sz w:val="16"/>
                <w:szCs w:val="16"/>
              </w:rPr>
            </w:pPr>
            <w:r w:rsidRPr="00DB26F9">
              <w:rPr>
                <w:rFonts w:ascii="Arial" w:hAnsi="Arial" w:cs="Arial"/>
                <w:bCs/>
                <w:sz w:val="16"/>
                <w:szCs w:val="16"/>
              </w:rPr>
              <w:t>20% PL RPPS</w:t>
            </w:r>
          </w:p>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25% PL FI</w:t>
            </w:r>
          </w:p>
          <w:p w:rsidR="00DA6D15" w:rsidRPr="00DB26F9" w:rsidRDefault="00DA6D15" w:rsidP="00DB26F9">
            <w:pPr>
              <w:ind w:left="-57" w:right="-57"/>
              <w:jc w:val="center"/>
              <w:rPr>
                <w:rFonts w:ascii="Arial" w:hAnsi="Arial" w:cs="Arial"/>
                <w:bCs/>
                <w:sz w:val="16"/>
                <w:szCs w:val="16"/>
              </w:rPr>
            </w:pPr>
          </w:p>
        </w:tc>
        <w:tc>
          <w:tcPr>
            <w:tcW w:w="709" w:type="dxa"/>
            <w:vAlign w:val="center"/>
          </w:tcPr>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0%</w:t>
            </w:r>
          </w:p>
        </w:tc>
        <w:tc>
          <w:tcPr>
            <w:tcW w:w="709" w:type="dxa"/>
            <w:vAlign w:val="center"/>
          </w:tcPr>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80%</w:t>
            </w:r>
          </w:p>
        </w:tc>
      </w:tr>
      <w:tr w:rsidR="00DA6D15" w:rsidRPr="00DB26F9" w:rsidTr="00B45DFF">
        <w:tc>
          <w:tcPr>
            <w:tcW w:w="826" w:type="dxa"/>
            <w:vMerge/>
            <w:vAlign w:val="center"/>
          </w:tcPr>
          <w:p w:rsidR="00DA6D15" w:rsidRPr="00DB26F9" w:rsidRDefault="00DA6D15" w:rsidP="00DB26F9">
            <w:pPr>
              <w:jc w:val="center"/>
              <w:rPr>
                <w:rFonts w:ascii="Arial" w:hAnsi="Arial" w:cs="Arial"/>
                <w:sz w:val="16"/>
                <w:szCs w:val="16"/>
              </w:rPr>
            </w:pPr>
          </w:p>
        </w:tc>
        <w:tc>
          <w:tcPr>
            <w:tcW w:w="558" w:type="dxa"/>
            <w:vMerge/>
            <w:vAlign w:val="center"/>
          </w:tcPr>
          <w:p w:rsidR="00DA6D15" w:rsidRPr="00DB26F9" w:rsidRDefault="00DA6D15" w:rsidP="00DB26F9">
            <w:pPr>
              <w:jc w:val="center"/>
              <w:rPr>
                <w:rFonts w:ascii="Arial" w:hAnsi="Arial" w:cs="Arial"/>
                <w:sz w:val="16"/>
                <w:szCs w:val="16"/>
              </w:rPr>
            </w:pPr>
          </w:p>
        </w:tc>
        <w:tc>
          <w:tcPr>
            <w:tcW w:w="567" w:type="dxa"/>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IV</w:t>
            </w:r>
          </w:p>
        </w:tc>
        <w:tc>
          <w:tcPr>
            <w:tcW w:w="567" w:type="dxa"/>
            <w:vAlign w:val="center"/>
          </w:tcPr>
          <w:p w:rsidR="00DA6D15" w:rsidRPr="00DB26F9" w:rsidRDefault="00DA6D15" w:rsidP="00DB26F9">
            <w:pPr>
              <w:jc w:val="center"/>
              <w:rPr>
                <w:rFonts w:ascii="Arial" w:hAnsi="Arial" w:cs="Arial"/>
                <w:sz w:val="16"/>
                <w:szCs w:val="16"/>
              </w:rPr>
            </w:pPr>
          </w:p>
        </w:tc>
        <w:tc>
          <w:tcPr>
            <w:tcW w:w="709" w:type="dxa"/>
            <w:vAlign w:val="center"/>
          </w:tcPr>
          <w:p w:rsidR="00DA6D15" w:rsidRPr="00DB26F9" w:rsidRDefault="00DA6D15" w:rsidP="00DB26F9">
            <w:pPr>
              <w:jc w:val="center"/>
              <w:rPr>
                <w:rFonts w:ascii="Arial" w:hAnsi="Arial" w:cs="Arial"/>
                <w:sz w:val="16"/>
                <w:szCs w:val="16"/>
              </w:rPr>
            </w:pPr>
            <w:r>
              <w:rPr>
                <w:rFonts w:ascii="Arial" w:hAnsi="Arial" w:cs="Arial"/>
                <w:sz w:val="16"/>
                <w:szCs w:val="16"/>
              </w:rPr>
              <w:t>3</w:t>
            </w:r>
            <w:r w:rsidRPr="00DB26F9">
              <w:rPr>
                <w:rFonts w:ascii="Arial" w:hAnsi="Arial" w:cs="Arial"/>
                <w:sz w:val="16"/>
                <w:szCs w:val="16"/>
              </w:rPr>
              <w:t>0%</w:t>
            </w:r>
          </w:p>
        </w:tc>
        <w:tc>
          <w:tcPr>
            <w:tcW w:w="3118" w:type="dxa"/>
            <w:vAlign w:val="center"/>
          </w:tcPr>
          <w:p w:rsidR="00DA6D15" w:rsidRPr="00A33A3B" w:rsidRDefault="00DA6D15" w:rsidP="00A33A3B">
            <w:pPr>
              <w:ind w:left="-57" w:right="-57"/>
              <w:jc w:val="both"/>
              <w:rPr>
                <w:rFonts w:ascii="Arial" w:hAnsi="Arial" w:cs="Arial"/>
                <w:sz w:val="14"/>
                <w:szCs w:val="14"/>
              </w:rPr>
            </w:pPr>
            <w:r w:rsidRPr="00DB26F9">
              <w:rPr>
                <w:rFonts w:ascii="Arial" w:hAnsi="Arial" w:cs="Arial"/>
                <w:bCs/>
                <w:sz w:val="14"/>
                <w:szCs w:val="14"/>
              </w:rPr>
              <w:t xml:space="preserve">Cotas de fundos de investimento </w:t>
            </w:r>
            <w:r>
              <w:rPr>
                <w:rFonts w:ascii="Arial" w:hAnsi="Arial" w:cs="Arial"/>
                <w:bCs/>
                <w:sz w:val="14"/>
                <w:szCs w:val="14"/>
              </w:rPr>
              <w:t>classificados como de</w:t>
            </w:r>
            <w:r w:rsidRPr="00DB26F9">
              <w:rPr>
                <w:rFonts w:ascii="Arial" w:hAnsi="Arial" w:cs="Arial"/>
                <w:bCs/>
                <w:sz w:val="14"/>
                <w:szCs w:val="14"/>
              </w:rPr>
              <w:t xml:space="preserve"> renda fixa</w:t>
            </w:r>
            <w:r>
              <w:rPr>
                <w:rFonts w:ascii="Arial" w:hAnsi="Arial" w:cs="Arial"/>
                <w:sz w:val="14"/>
                <w:szCs w:val="14"/>
              </w:rPr>
              <w:t xml:space="preserve"> ou como referenciados em indicadores de desempenho de renda fixa,</w:t>
            </w:r>
            <w:r w:rsidRPr="00DB26F9">
              <w:rPr>
                <w:rFonts w:ascii="Arial" w:hAnsi="Arial" w:cs="Arial"/>
                <w:sz w:val="14"/>
                <w:szCs w:val="14"/>
              </w:rPr>
              <w:t xml:space="preserve"> constituídos sob a forma de condomínio aberto</w:t>
            </w:r>
            <w:r>
              <w:rPr>
                <w:rFonts w:ascii="Arial" w:hAnsi="Arial" w:cs="Arial"/>
                <w:sz w:val="14"/>
                <w:szCs w:val="14"/>
              </w:rPr>
              <w:t>.</w:t>
            </w:r>
          </w:p>
        </w:tc>
        <w:tc>
          <w:tcPr>
            <w:tcW w:w="1134" w:type="dxa"/>
            <w:vAlign w:val="center"/>
          </w:tcPr>
          <w:p w:rsidR="00DA6D15" w:rsidRPr="00DB26F9" w:rsidRDefault="00DA6D15" w:rsidP="00DA6D15">
            <w:pPr>
              <w:ind w:left="-113" w:right="-113"/>
              <w:jc w:val="center"/>
              <w:rPr>
                <w:rFonts w:ascii="Arial" w:hAnsi="Arial" w:cs="Arial"/>
                <w:bCs/>
                <w:sz w:val="16"/>
                <w:szCs w:val="16"/>
              </w:rPr>
            </w:pPr>
            <w:r w:rsidRPr="00DB26F9">
              <w:rPr>
                <w:rFonts w:ascii="Arial" w:hAnsi="Arial" w:cs="Arial"/>
                <w:bCs/>
                <w:sz w:val="16"/>
                <w:szCs w:val="16"/>
              </w:rPr>
              <w:t>20% PL RPPS</w:t>
            </w:r>
          </w:p>
          <w:p w:rsidR="00DA6D15" w:rsidRPr="00DB26F9" w:rsidRDefault="00DA6D15" w:rsidP="00DA6D15">
            <w:pPr>
              <w:ind w:left="-113" w:right="-113"/>
              <w:jc w:val="center"/>
              <w:rPr>
                <w:rFonts w:ascii="Arial" w:hAnsi="Arial" w:cs="Arial"/>
                <w:sz w:val="16"/>
                <w:szCs w:val="16"/>
              </w:rPr>
            </w:pPr>
            <w:r w:rsidRPr="00DB26F9">
              <w:rPr>
                <w:rFonts w:ascii="Arial" w:hAnsi="Arial" w:cs="Arial"/>
                <w:sz w:val="16"/>
                <w:szCs w:val="16"/>
              </w:rPr>
              <w:t>25% PL FI</w:t>
            </w:r>
          </w:p>
          <w:p w:rsidR="00DA6D15" w:rsidRPr="00DB26F9" w:rsidRDefault="00DA6D15" w:rsidP="00DA6D15">
            <w:pPr>
              <w:ind w:left="-113" w:right="-113"/>
              <w:jc w:val="center"/>
              <w:rPr>
                <w:rFonts w:ascii="Arial" w:hAnsi="Arial" w:cs="Arial"/>
                <w:bCs/>
                <w:sz w:val="16"/>
                <w:szCs w:val="16"/>
              </w:rPr>
            </w:pPr>
          </w:p>
        </w:tc>
        <w:tc>
          <w:tcPr>
            <w:tcW w:w="709" w:type="dxa"/>
            <w:vAlign w:val="center"/>
          </w:tcPr>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0%</w:t>
            </w:r>
          </w:p>
        </w:tc>
        <w:tc>
          <w:tcPr>
            <w:tcW w:w="709" w:type="dxa"/>
            <w:vAlign w:val="center"/>
          </w:tcPr>
          <w:p w:rsidR="00DA6D15" w:rsidRPr="00DB26F9" w:rsidRDefault="00DA6D15" w:rsidP="00DB26F9">
            <w:pPr>
              <w:ind w:left="-113" w:right="-113"/>
              <w:jc w:val="center"/>
              <w:rPr>
                <w:rFonts w:ascii="Arial" w:hAnsi="Arial" w:cs="Arial"/>
                <w:sz w:val="16"/>
                <w:szCs w:val="16"/>
              </w:rPr>
            </w:pPr>
            <w:r w:rsidRPr="00DB26F9">
              <w:rPr>
                <w:rFonts w:ascii="Arial" w:hAnsi="Arial" w:cs="Arial"/>
                <w:sz w:val="16"/>
                <w:szCs w:val="16"/>
              </w:rPr>
              <w:t>30%</w:t>
            </w:r>
          </w:p>
        </w:tc>
      </w:tr>
      <w:tr w:rsidR="00DA6D15" w:rsidRPr="00DB26F9" w:rsidTr="00B45DFF">
        <w:tc>
          <w:tcPr>
            <w:tcW w:w="826" w:type="dxa"/>
            <w:vMerge/>
            <w:vAlign w:val="center"/>
          </w:tcPr>
          <w:p w:rsidR="00DA6D15" w:rsidRPr="00DB26F9" w:rsidRDefault="00DA6D15" w:rsidP="00DB26F9">
            <w:pPr>
              <w:jc w:val="center"/>
              <w:rPr>
                <w:rFonts w:ascii="Arial" w:hAnsi="Arial" w:cs="Arial"/>
                <w:sz w:val="16"/>
                <w:szCs w:val="16"/>
              </w:rPr>
            </w:pPr>
          </w:p>
        </w:tc>
        <w:tc>
          <w:tcPr>
            <w:tcW w:w="558" w:type="dxa"/>
            <w:vMerge/>
            <w:vAlign w:val="center"/>
          </w:tcPr>
          <w:p w:rsidR="00DA6D15" w:rsidRPr="00DB26F9" w:rsidRDefault="00DA6D15" w:rsidP="00DB26F9">
            <w:pPr>
              <w:jc w:val="center"/>
              <w:rPr>
                <w:rFonts w:ascii="Arial" w:hAnsi="Arial" w:cs="Arial"/>
                <w:sz w:val="16"/>
                <w:szCs w:val="16"/>
              </w:rPr>
            </w:pPr>
          </w:p>
        </w:tc>
        <w:tc>
          <w:tcPr>
            <w:tcW w:w="567" w:type="dxa"/>
            <w:tcBorders>
              <w:bottom w:val="single" w:sz="4" w:space="0" w:color="auto"/>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V</w:t>
            </w:r>
          </w:p>
        </w:tc>
        <w:tc>
          <w:tcPr>
            <w:tcW w:w="567" w:type="dxa"/>
            <w:tcBorders>
              <w:bottom w:val="single" w:sz="4" w:space="0" w:color="auto"/>
            </w:tcBorders>
            <w:vAlign w:val="center"/>
          </w:tcPr>
          <w:p w:rsidR="00DA6D15" w:rsidRPr="00DB26F9" w:rsidRDefault="00DA6D15" w:rsidP="00DB26F9">
            <w:pPr>
              <w:jc w:val="center"/>
              <w:rPr>
                <w:rFonts w:ascii="Arial" w:hAnsi="Arial" w:cs="Arial"/>
                <w:sz w:val="16"/>
                <w:szCs w:val="16"/>
              </w:rPr>
            </w:pPr>
          </w:p>
        </w:tc>
        <w:tc>
          <w:tcPr>
            <w:tcW w:w="709" w:type="dxa"/>
            <w:tcBorders>
              <w:bottom w:val="single" w:sz="4" w:space="0" w:color="auto"/>
            </w:tcBorders>
            <w:vAlign w:val="center"/>
          </w:tcPr>
          <w:p w:rsidR="00DA6D15" w:rsidRPr="00DB26F9" w:rsidRDefault="00DA6D15" w:rsidP="00DB26F9">
            <w:pPr>
              <w:jc w:val="center"/>
              <w:rPr>
                <w:rFonts w:ascii="Arial" w:hAnsi="Arial" w:cs="Arial"/>
                <w:sz w:val="16"/>
                <w:szCs w:val="16"/>
              </w:rPr>
            </w:pPr>
            <w:r>
              <w:rPr>
                <w:rFonts w:ascii="Arial" w:hAnsi="Arial" w:cs="Arial"/>
                <w:sz w:val="16"/>
                <w:szCs w:val="16"/>
              </w:rPr>
              <w:t>2</w:t>
            </w:r>
            <w:r w:rsidRPr="00DB26F9">
              <w:rPr>
                <w:rFonts w:ascii="Arial" w:hAnsi="Arial" w:cs="Arial"/>
                <w:sz w:val="16"/>
                <w:szCs w:val="16"/>
              </w:rPr>
              <w:t>0%</w:t>
            </w:r>
          </w:p>
        </w:tc>
        <w:tc>
          <w:tcPr>
            <w:tcW w:w="3118" w:type="dxa"/>
            <w:tcBorders>
              <w:bottom w:val="single" w:sz="4" w:space="0" w:color="auto"/>
            </w:tcBorders>
            <w:vAlign w:val="center"/>
          </w:tcPr>
          <w:p w:rsidR="00DA6D15" w:rsidRPr="00DB26F9" w:rsidRDefault="00DA6D15" w:rsidP="00A33A3B">
            <w:pPr>
              <w:ind w:left="-57" w:right="-57"/>
              <w:jc w:val="both"/>
              <w:rPr>
                <w:rFonts w:ascii="Arial" w:hAnsi="Arial" w:cs="Arial"/>
                <w:bCs/>
                <w:sz w:val="14"/>
                <w:szCs w:val="14"/>
              </w:rPr>
            </w:pPr>
            <w:r>
              <w:rPr>
                <w:rFonts w:ascii="Arial" w:hAnsi="Arial" w:cs="Arial"/>
                <w:bCs/>
                <w:sz w:val="14"/>
                <w:szCs w:val="14"/>
              </w:rPr>
              <w:t>Em depósitos de poupança em instituição financeira considerada como de baixo risco de crédito pelos responsáveis pela gestão de recursos do regime próprio de previdência social, com base, dentre outros critérios, em classificação efetuada por agência classificadora de risco em funcionamento no País.</w:t>
            </w:r>
          </w:p>
        </w:tc>
        <w:tc>
          <w:tcPr>
            <w:tcW w:w="1134" w:type="dxa"/>
            <w:tcBorders>
              <w:bottom w:val="single" w:sz="4" w:space="0" w:color="auto"/>
            </w:tcBorders>
            <w:vAlign w:val="center"/>
          </w:tcPr>
          <w:p w:rsidR="00DA6D15" w:rsidRPr="00DB26F9" w:rsidRDefault="00DA6D15" w:rsidP="00DB26F9">
            <w:pPr>
              <w:ind w:left="-113" w:right="-113"/>
              <w:jc w:val="center"/>
              <w:rPr>
                <w:rFonts w:ascii="Arial" w:hAnsi="Arial" w:cs="Arial"/>
                <w:bCs/>
                <w:sz w:val="16"/>
                <w:szCs w:val="16"/>
              </w:rPr>
            </w:pPr>
            <w:r>
              <w:rPr>
                <w:rFonts w:ascii="Arial" w:hAnsi="Arial" w:cs="Arial"/>
                <w:bCs/>
                <w:sz w:val="16"/>
                <w:szCs w:val="16"/>
              </w:rPr>
              <w:t>-</w:t>
            </w:r>
          </w:p>
        </w:tc>
        <w:tc>
          <w:tcPr>
            <w:tcW w:w="709" w:type="dxa"/>
            <w:tcBorders>
              <w:bottom w:val="single" w:sz="4" w:space="0" w:color="auto"/>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0%</w:t>
            </w:r>
          </w:p>
        </w:tc>
        <w:tc>
          <w:tcPr>
            <w:tcW w:w="709" w:type="dxa"/>
            <w:tcBorders>
              <w:bottom w:val="single" w:sz="4" w:space="0" w:color="auto"/>
            </w:tcBorders>
            <w:vAlign w:val="center"/>
          </w:tcPr>
          <w:p w:rsidR="00DA6D15" w:rsidRPr="00DB26F9" w:rsidRDefault="00DA6D15" w:rsidP="00DB26F9">
            <w:pPr>
              <w:jc w:val="center"/>
              <w:rPr>
                <w:rFonts w:ascii="Arial" w:hAnsi="Arial" w:cs="Arial"/>
                <w:sz w:val="16"/>
                <w:szCs w:val="16"/>
              </w:rPr>
            </w:pPr>
            <w:r>
              <w:rPr>
                <w:rFonts w:ascii="Arial" w:hAnsi="Arial" w:cs="Arial"/>
                <w:sz w:val="16"/>
                <w:szCs w:val="16"/>
              </w:rPr>
              <w:t>20%</w:t>
            </w:r>
          </w:p>
        </w:tc>
      </w:tr>
      <w:tr w:rsidR="00DA6D15" w:rsidRPr="00DB26F9" w:rsidTr="00B45DFF">
        <w:trPr>
          <w:trHeight w:val="486"/>
        </w:trPr>
        <w:tc>
          <w:tcPr>
            <w:tcW w:w="826" w:type="dxa"/>
            <w:vMerge/>
            <w:vAlign w:val="center"/>
          </w:tcPr>
          <w:p w:rsidR="00DA6D15" w:rsidRPr="00DB26F9" w:rsidRDefault="00DA6D15" w:rsidP="00DB26F9">
            <w:pPr>
              <w:jc w:val="center"/>
              <w:rPr>
                <w:rFonts w:ascii="Arial" w:hAnsi="Arial" w:cs="Arial"/>
                <w:sz w:val="16"/>
                <w:szCs w:val="16"/>
              </w:rPr>
            </w:pPr>
          </w:p>
        </w:tc>
        <w:tc>
          <w:tcPr>
            <w:tcW w:w="558" w:type="dxa"/>
            <w:vMerge/>
            <w:vAlign w:val="center"/>
          </w:tcPr>
          <w:p w:rsidR="00DA6D15" w:rsidRPr="00DB26F9" w:rsidRDefault="00DA6D15" w:rsidP="00DB26F9">
            <w:pPr>
              <w:jc w:val="center"/>
              <w:rPr>
                <w:rFonts w:ascii="Arial" w:hAnsi="Arial" w:cs="Arial"/>
                <w:sz w:val="16"/>
                <w:szCs w:val="16"/>
              </w:rPr>
            </w:pPr>
          </w:p>
        </w:tc>
        <w:tc>
          <w:tcPr>
            <w:tcW w:w="567" w:type="dxa"/>
            <w:tcBorders>
              <w:top w:val="single" w:sz="4" w:space="0" w:color="auto"/>
              <w:bottom w:val="nil"/>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VI</w:t>
            </w:r>
          </w:p>
        </w:tc>
        <w:tc>
          <w:tcPr>
            <w:tcW w:w="567" w:type="dxa"/>
            <w:tcBorders>
              <w:top w:val="single" w:sz="4" w:space="0" w:color="auto"/>
              <w:bottom w:val="nil"/>
            </w:tcBorders>
            <w:vAlign w:val="center"/>
          </w:tcPr>
          <w:p w:rsidR="00DA6D15" w:rsidRPr="00DB26F9" w:rsidRDefault="00DA6D15" w:rsidP="00DB26F9">
            <w:pPr>
              <w:jc w:val="center"/>
              <w:rPr>
                <w:rFonts w:ascii="Arial" w:hAnsi="Arial" w:cs="Arial"/>
                <w:sz w:val="16"/>
                <w:szCs w:val="16"/>
              </w:rPr>
            </w:pPr>
          </w:p>
        </w:tc>
        <w:tc>
          <w:tcPr>
            <w:tcW w:w="709" w:type="dxa"/>
            <w:tcBorders>
              <w:top w:val="single" w:sz="4" w:space="0" w:color="auto"/>
              <w:bottom w:val="nil"/>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15%</w:t>
            </w:r>
          </w:p>
        </w:tc>
        <w:tc>
          <w:tcPr>
            <w:tcW w:w="3118" w:type="dxa"/>
            <w:tcBorders>
              <w:top w:val="single" w:sz="4" w:space="0" w:color="auto"/>
              <w:bottom w:val="nil"/>
            </w:tcBorders>
            <w:vAlign w:val="center"/>
          </w:tcPr>
          <w:p w:rsidR="00DA6D15" w:rsidRPr="00DB26F9" w:rsidRDefault="00DA6D15" w:rsidP="00DB26F9">
            <w:pPr>
              <w:ind w:left="-57" w:right="-57"/>
              <w:jc w:val="both"/>
              <w:rPr>
                <w:rFonts w:ascii="Arial" w:hAnsi="Arial" w:cs="Arial"/>
                <w:bCs/>
                <w:sz w:val="14"/>
                <w:szCs w:val="14"/>
              </w:rPr>
            </w:pPr>
            <w:r w:rsidRPr="00DB26F9">
              <w:rPr>
                <w:rFonts w:ascii="Arial" w:hAnsi="Arial" w:cs="Arial"/>
                <w:bCs/>
                <w:sz w:val="14"/>
                <w:szCs w:val="14"/>
              </w:rPr>
              <w:t>Cotas de fundos de investimento em direitos creditórios</w:t>
            </w:r>
            <w:r w:rsidRPr="00DB26F9">
              <w:rPr>
                <w:rFonts w:ascii="Arial" w:hAnsi="Arial" w:cs="Arial"/>
                <w:sz w:val="14"/>
                <w:szCs w:val="14"/>
              </w:rPr>
              <w:t>, constituídos sob a forma de condomínio aberto</w:t>
            </w:r>
          </w:p>
        </w:tc>
        <w:tc>
          <w:tcPr>
            <w:tcW w:w="1134" w:type="dxa"/>
            <w:tcBorders>
              <w:top w:val="single" w:sz="4" w:space="0" w:color="auto"/>
              <w:bottom w:val="nil"/>
            </w:tcBorders>
            <w:vAlign w:val="center"/>
          </w:tcPr>
          <w:p w:rsidR="00DA6D15" w:rsidRPr="00DB26F9" w:rsidRDefault="00DA6D15" w:rsidP="00DA6D15">
            <w:pPr>
              <w:ind w:left="-113" w:right="-113"/>
              <w:jc w:val="center"/>
              <w:rPr>
                <w:rFonts w:ascii="Arial" w:hAnsi="Arial" w:cs="Arial"/>
                <w:bCs/>
                <w:sz w:val="16"/>
                <w:szCs w:val="16"/>
              </w:rPr>
            </w:pPr>
            <w:r w:rsidRPr="00DB26F9">
              <w:rPr>
                <w:rFonts w:ascii="Arial" w:hAnsi="Arial" w:cs="Arial"/>
                <w:sz w:val="16"/>
                <w:szCs w:val="16"/>
              </w:rPr>
              <w:t>2</w:t>
            </w:r>
            <w:r>
              <w:rPr>
                <w:rFonts w:ascii="Arial" w:hAnsi="Arial" w:cs="Arial"/>
                <w:sz w:val="16"/>
                <w:szCs w:val="16"/>
              </w:rPr>
              <w:t>5</w:t>
            </w:r>
            <w:r w:rsidRPr="00DB26F9">
              <w:rPr>
                <w:rFonts w:ascii="Arial" w:hAnsi="Arial" w:cs="Arial"/>
                <w:sz w:val="16"/>
                <w:szCs w:val="16"/>
              </w:rPr>
              <w:t>% PL FI</w:t>
            </w:r>
          </w:p>
        </w:tc>
        <w:tc>
          <w:tcPr>
            <w:tcW w:w="709" w:type="dxa"/>
            <w:tcBorders>
              <w:top w:val="single" w:sz="4" w:space="0" w:color="auto"/>
              <w:bottom w:val="nil"/>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0%</w:t>
            </w:r>
          </w:p>
        </w:tc>
        <w:tc>
          <w:tcPr>
            <w:tcW w:w="709" w:type="dxa"/>
            <w:tcBorders>
              <w:top w:val="single" w:sz="4" w:space="0" w:color="auto"/>
              <w:bottom w:val="nil"/>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15%</w:t>
            </w:r>
          </w:p>
        </w:tc>
      </w:tr>
      <w:tr w:rsidR="00DA6D15" w:rsidRPr="00DB26F9" w:rsidTr="00B45DFF">
        <w:tc>
          <w:tcPr>
            <w:tcW w:w="826" w:type="dxa"/>
            <w:vMerge/>
            <w:vAlign w:val="center"/>
          </w:tcPr>
          <w:p w:rsidR="00DA6D15" w:rsidRPr="00DB26F9" w:rsidRDefault="00DA6D15" w:rsidP="00DB26F9">
            <w:pPr>
              <w:ind w:left="-57" w:right="-57"/>
              <w:jc w:val="center"/>
              <w:rPr>
                <w:rFonts w:ascii="Arial" w:hAnsi="Arial" w:cs="Arial"/>
                <w:sz w:val="16"/>
                <w:szCs w:val="16"/>
              </w:rPr>
            </w:pPr>
          </w:p>
        </w:tc>
        <w:tc>
          <w:tcPr>
            <w:tcW w:w="558" w:type="dxa"/>
            <w:vMerge/>
            <w:vAlign w:val="center"/>
          </w:tcPr>
          <w:p w:rsidR="00DA6D15" w:rsidRPr="00DB26F9" w:rsidRDefault="00DA6D15" w:rsidP="00DB26F9">
            <w:pPr>
              <w:jc w:val="center"/>
              <w:rPr>
                <w:rFonts w:ascii="Arial" w:hAnsi="Arial" w:cs="Arial"/>
                <w:sz w:val="16"/>
                <w:szCs w:val="16"/>
              </w:rPr>
            </w:pPr>
          </w:p>
        </w:tc>
        <w:tc>
          <w:tcPr>
            <w:tcW w:w="567" w:type="dxa"/>
            <w:vMerge w:val="restart"/>
            <w:tcBorders>
              <w:top w:val="single" w:sz="4" w:space="0" w:color="auto"/>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VII</w:t>
            </w:r>
          </w:p>
        </w:tc>
        <w:tc>
          <w:tcPr>
            <w:tcW w:w="567" w:type="dxa"/>
            <w:tcBorders>
              <w:top w:val="single" w:sz="4" w:space="0" w:color="auto"/>
              <w:bottom w:val="single" w:sz="4" w:space="0" w:color="auto"/>
            </w:tcBorders>
            <w:vAlign w:val="center"/>
          </w:tcPr>
          <w:p w:rsidR="00DA6D15" w:rsidRDefault="00DA6D15" w:rsidP="00DB26F9">
            <w:pPr>
              <w:jc w:val="center"/>
              <w:rPr>
                <w:rFonts w:ascii="Arial" w:hAnsi="Arial" w:cs="Arial"/>
                <w:sz w:val="16"/>
                <w:szCs w:val="16"/>
              </w:rPr>
            </w:pPr>
          </w:p>
          <w:p w:rsidR="00DA6D15" w:rsidRDefault="00DA6D15" w:rsidP="00DB26F9">
            <w:pPr>
              <w:jc w:val="center"/>
              <w:rPr>
                <w:rFonts w:ascii="Arial" w:hAnsi="Arial" w:cs="Arial"/>
                <w:sz w:val="16"/>
                <w:szCs w:val="16"/>
              </w:rPr>
            </w:pPr>
            <w:r>
              <w:rPr>
                <w:rFonts w:ascii="Arial" w:hAnsi="Arial" w:cs="Arial"/>
                <w:sz w:val="16"/>
                <w:szCs w:val="16"/>
              </w:rPr>
              <w:t>a</w:t>
            </w:r>
          </w:p>
          <w:p w:rsidR="00DA6D15" w:rsidRPr="00DB26F9" w:rsidRDefault="00DA6D15" w:rsidP="00C93ECA">
            <w:pPr>
              <w:rPr>
                <w:rFonts w:ascii="Arial" w:hAnsi="Arial" w:cs="Arial"/>
                <w:sz w:val="16"/>
                <w:szCs w:val="16"/>
              </w:rPr>
            </w:pPr>
          </w:p>
        </w:tc>
        <w:tc>
          <w:tcPr>
            <w:tcW w:w="709" w:type="dxa"/>
            <w:tcBorders>
              <w:top w:val="single" w:sz="4" w:space="0" w:color="auto"/>
              <w:bottom w:val="single" w:sz="4" w:space="0" w:color="auto"/>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5%</w:t>
            </w:r>
          </w:p>
        </w:tc>
        <w:tc>
          <w:tcPr>
            <w:tcW w:w="3118" w:type="dxa"/>
            <w:tcBorders>
              <w:top w:val="single" w:sz="4" w:space="0" w:color="auto"/>
              <w:bottom w:val="single" w:sz="4" w:space="0" w:color="auto"/>
            </w:tcBorders>
            <w:vAlign w:val="center"/>
          </w:tcPr>
          <w:p w:rsidR="00DA6D15" w:rsidRPr="00DB26F9" w:rsidRDefault="00DA6D15" w:rsidP="00C93ECA">
            <w:pPr>
              <w:ind w:left="-57" w:right="-57"/>
              <w:jc w:val="both"/>
              <w:rPr>
                <w:rFonts w:ascii="Arial" w:hAnsi="Arial" w:cs="Arial"/>
                <w:bCs/>
                <w:sz w:val="14"/>
                <w:szCs w:val="14"/>
              </w:rPr>
            </w:pPr>
            <w:r w:rsidRPr="00DB26F9">
              <w:rPr>
                <w:rFonts w:ascii="Arial" w:hAnsi="Arial" w:cs="Arial"/>
                <w:bCs/>
                <w:sz w:val="14"/>
                <w:szCs w:val="14"/>
              </w:rPr>
              <w:t xml:space="preserve">Cotas de fundos de investimento em direitos creditórios, </w:t>
            </w:r>
            <w:r w:rsidRPr="00DB26F9">
              <w:rPr>
                <w:rFonts w:ascii="Arial" w:hAnsi="Arial" w:cs="Arial"/>
                <w:sz w:val="14"/>
                <w:szCs w:val="14"/>
              </w:rPr>
              <w:t>constituídos sob a forma de condo</w:t>
            </w:r>
            <w:r>
              <w:rPr>
                <w:rFonts w:ascii="Arial" w:hAnsi="Arial" w:cs="Arial"/>
                <w:sz w:val="14"/>
                <w:szCs w:val="14"/>
              </w:rPr>
              <w:t>mínio fechado; ou</w:t>
            </w:r>
          </w:p>
        </w:tc>
        <w:tc>
          <w:tcPr>
            <w:tcW w:w="1134" w:type="dxa"/>
            <w:tcBorders>
              <w:top w:val="single" w:sz="4" w:space="0" w:color="auto"/>
              <w:bottom w:val="single" w:sz="4" w:space="0" w:color="auto"/>
            </w:tcBorders>
            <w:vAlign w:val="center"/>
          </w:tcPr>
          <w:p w:rsidR="00DA6D15" w:rsidRPr="00DB26F9" w:rsidRDefault="00DA6D15" w:rsidP="00DA6D15">
            <w:pPr>
              <w:ind w:left="-57" w:right="-57"/>
              <w:jc w:val="center"/>
              <w:rPr>
                <w:rFonts w:ascii="Arial" w:hAnsi="Arial" w:cs="Arial"/>
                <w:bCs/>
                <w:sz w:val="16"/>
                <w:szCs w:val="16"/>
              </w:rPr>
            </w:pPr>
            <w:r w:rsidRPr="00DB26F9">
              <w:rPr>
                <w:rFonts w:ascii="Arial" w:hAnsi="Arial" w:cs="Arial"/>
                <w:sz w:val="16"/>
                <w:szCs w:val="16"/>
              </w:rPr>
              <w:t>2</w:t>
            </w:r>
            <w:r>
              <w:rPr>
                <w:rFonts w:ascii="Arial" w:hAnsi="Arial" w:cs="Arial"/>
                <w:sz w:val="16"/>
                <w:szCs w:val="16"/>
              </w:rPr>
              <w:t>5</w:t>
            </w:r>
            <w:r w:rsidRPr="00DB26F9">
              <w:rPr>
                <w:rFonts w:ascii="Arial" w:hAnsi="Arial" w:cs="Arial"/>
                <w:sz w:val="16"/>
                <w:szCs w:val="16"/>
              </w:rPr>
              <w:t>% PL FI</w:t>
            </w:r>
          </w:p>
        </w:tc>
        <w:tc>
          <w:tcPr>
            <w:tcW w:w="709" w:type="dxa"/>
            <w:tcBorders>
              <w:top w:val="single" w:sz="4" w:space="0" w:color="auto"/>
              <w:bottom w:val="single" w:sz="4" w:space="0" w:color="auto"/>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0%</w:t>
            </w:r>
          </w:p>
        </w:tc>
        <w:tc>
          <w:tcPr>
            <w:tcW w:w="709" w:type="dxa"/>
            <w:tcBorders>
              <w:top w:val="single" w:sz="4" w:space="0" w:color="auto"/>
              <w:bottom w:val="single" w:sz="4" w:space="0" w:color="auto"/>
            </w:tcBorders>
            <w:vAlign w:val="center"/>
          </w:tcPr>
          <w:p w:rsidR="00DA6D15" w:rsidRPr="00DB26F9" w:rsidRDefault="00DA6D15" w:rsidP="00DB26F9">
            <w:pPr>
              <w:jc w:val="center"/>
              <w:rPr>
                <w:rFonts w:ascii="Arial" w:hAnsi="Arial" w:cs="Arial"/>
                <w:sz w:val="16"/>
                <w:szCs w:val="16"/>
              </w:rPr>
            </w:pPr>
            <w:r w:rsidRPr="00DB26F9">
              <w:rPr>
                <w:rFonts w:ascii="Arial" w:hAnsi="Arial" w:cs="Arial"/>
                <w:sz w:val="16"/>
                <w:szCs w:val="16"/>
              </w:rPr>
              <w:t>5%</w:t>
            </w:r>
          </w:p>
        </w:tc>
      </w:tr>
      <w:tr w:rsidR="00DA6D15" w:rsidRPr="00DB26F9" w:rsidTr="00B45DFF">
        <w:tc>
          <w:tcPr>
            <w:tcW w:w="826" w:type="dxa"/>
            <w:vMerge/>
            <w:vAlign w:val="center"/>
          </w:tcPr>
          <w:p w:rsidR="00DA6D15" w:rsidRPr="00DB26F9" w:rsidRDefault="00DA6D15" w:rsidP="00DB26F9">
            <w:pPr>
              <w:ind w:left="-57" w:right="-57"/>
              <w:jc w:val="center"/>
              <w:rPr>
                <w:rFonts w:ascii="Arial" w:hAnsi="Arial" w:cs="Arial"/>
                <w:sz w:val="16"/>
                <w:szCs w:val="16"/>
              </w:rPr>
            </w:pPr>
          </w:p>
        </w:tc>
        <w:tc>
          <w:tcPr>
            <w:tcW w:w="558" w:type="dxa"/>
            <w:vMerge/>
            <w:vAlign w:val="center"/>
          </w:tcPr>
          <w:p w:rsidR="00DA6D15" w:rsidRPr="00DB26F9" w:rsidRDefault="00DA6D15" w:rsidP="00DB26F9">
            <w:pPr>
              <w:jc w:val="center"/>
              <w:rPr>
                <w:rFonts w:ascii="Arial" w:hAnsi="Arial" w:cs="Arial"/>
                <w:sz w:val="16"/>
                <w:szCs w:val="16"/>
              </w:rPr>
            </w:pPr>
          </w:p>
        </w:tc>
        <w:tc>
          <w:tcPr>
            <w:tcW w:w="567" w:type="dxa"/>
            <w:vMerge/>
            <w:vAlign w:val="center"/>
          </w:tcPr>
          <w:p w:rsidR="00DA6D15" w:rsidRPr="00DB26F9" w:rsidRDefault="00DA6D15" w:rsidP="00DB26F9">
            <w:pPr>
              <w:jc w:val="center"/>
              <w:rPr>
                <w:rFonts w:ascii="Arial" w:hAnsi="Arial" w:cs="Arial"/>
                <w:sz w:val="16"/>
                <w:szCs w:val="16"/>
              </w:rPr>
            </w:pPr>
          </w:p>
        </w:tc>
        <w:tc>
          <w:tcPr>
            <w:tcW w:w="567" w:type="dxa"/>
            <w:tcBorders>
              <w:top w:val="single" w:sz="4" w:space="0" w:color="auto"/>
            </w:tcBorders>
            <w:vAlign w:val="center"/>
          </w:tcPr>
          <w:p w:rsidR="00DA6D15" w:rsidRDefault="00DA6D15" w:rsidP="00DB26F9">
            <w:pPr>
              <w:jc w:val="center"/>
              <w:rPr>
                <w:rFonts w:ascii="Arial" w:hAnsi="Arial" w:cs="Arial"/>
                <w:sz w:val="16"/>
                <w:szCs w:val="16"/>
              </w:rPr>
            </w:pPr>
            <w:r>
              <w:rPr>
                <w:rFonts w:ascii="Arial" w:hAnsi="Arial" w:cs="Arial"/>
                <w:sz w:val="16"/>
                <w:szCs w:val="16"/>
              </w:rPr>
              <w:t>b</w:t>
            </w:r>
          </w:p>
        </w:tc>
        <w:tc>
          <w:tcPr>
            <w:tcW w:w="709" w:type="dxa"/>
            <w:tcBorders>
              <w:top w:val="single" w:sz="4" w:space="0" w:color="auto"/>
            </w:tcBorders>
            <w:vAlign w:val="center"/>
          </w:tcPr>
          <w:p w:rsidR="00DA6D15" w:rsidRPr="00DB26F9" w:rsidRDefault="00DA6D15" w:rsidP="00DB26F9">
            <w:pPr>
              <w:jc w:val="center"/>
              <w:rPr>
                <w:rFonts w:ascii="Arial" w:hAnsi="Arial" w:cs="Arial"/>
                <w:sz w:val="16"/>
                <w:szCs w:val="16"/>
              </w:rPr>
            </w:pPr>
            <w:r>
              <w:rPr>
                <w:rFonts w:ascii="Arial" w:hAnsi="Arial" w:cs="Arial"/>
                <w:sz w:val="16"/>
                <w:szCs w:val="16"/>
              </w:rPr>
              <w:t>5%</w:t>
            </w:r>
          </w:p>
        </w:tc>
        <w:tc>
          <w:tcPr>
            <w:tcW w:w="3118" w:type="dxa"/>
            <w:tcBorders>
              <w:top w:val="single" w:sz="4" w:space="0" w:color="auto"/>
            </w:tcBorders>
            <w:vAlign w:val="center"/>
          </w:tcPr>
          <w:p w:rsidR="00DA6D15" w:rsidRPr="00DB26F9" w:rsidRDefault="00DA6D15" w:rsidP="00DB26F9">
            <w:pPr>
              <w:ind w:left="-57" w:right="-57"/>
              <w:jc w:val="both"/>
              <w:rPr>
                <w:rFonts w:ascii="Arial" w:hAnsi="Arial" w:cs="Arial"/>
                <w:bCs/>
                <w:sz w:val="14"/>
                <w:szCs w:val="14"/>
              </w:rPr>
            </w:pPr>
            <w:r>
              <w:rPr>
                <w:rFonts w:ascii="Arial" w:hAnsi="Arial" w:cs="Arial"/>
                <w:bCs/>
                <w:sz w:val="14"/>
                <w:szCs w:val="14"/>
              </w:rPr>
              <w:t>Cotas de fundo de investimento classificados como renda fixa ou como referenciados em indicadores de desempenho de renda fixa que contenham em sua denominação a expressão “crédito privado”.</w:t>
            </w:r>
          </w:p>
        </w:tc>
        <w:tc>
          <w:tcPr>
            <w:tcW w:w="1134" w:type="dxa"/>
            <w:tcBorders>
              <w:top w:val="single" w:sz="4" w:space="0" w:color="auto"/>
            </w:tcBorders>
            <w:vAlign w:val="center"/>
          </w:tcPr>
          <w:p w:rsidR="00DA6D15" w:rsidRPr="00DB26F9" w:rsidRDefault="00DA6D15" w:rsidP="00DA6D15">
            <w:pPr>
              <w:ind w:left="-57" w:right="-57"/>
              <w:jc w:val="center"/>
              <w:rPr>
                <w:rFonts w:ascii="Arial" w:hAnsi="Arial" w:cs="Arial"/>
                <w:sz w:val="16"/>
                <w:szCs w:val="16"/>
              </w:rPr>
            </w:pPr>
            <w:r w:rsidRPr="00DB26F9">
              <w:rPr>
                <w:rFonts w:ascii="Arial" w:hAnsi="Arial" w:cs="Arial"/>
                <w:sz w:val="16"/>
                <w:szCs w:val="16"/>
              </w:rPr>
              <w:t>2</w:t>
            </w:r>
            <w:r>
              <w:rPr>
                <w:rFonts w:ascii="Arial" w:hAnsi="Arial" w:cs="Arial"/>
                <w:sz w:val="16"/>
                <w:szCs w:val="16"/>
              </w:rPr>
              <w:t>5</w:t>
            </w:r>
            <w:r w:rsidRPr="00DB26F9">
              <w:rPr>
                <w:rFonts w:ascii="Arial" w:hAnsi="Arial" w:cs="Arial"/>
                <w:sz w:val="16"/>
                <w:szCs w:val="16"/>
              </w:rPr>
              <w:t>% PL FI</w:t>
            </w:r>
          </w:p>
        </w:tc>
        <w:tc>
          <w:tcPr>
            <w:tcW w:w="709" w:type="dxa"/>
            <w:tcBorders>
              <w:top w:val="single" w:sz="4" w:space="0" w:color="auto"/>
            </w:tcBorders>
            <w:vAlign w:val="center"/>
          </w:tcPr>
          <w:p w:rsidR="00DA6D15" w:rsidRPr="00DB26F9" w:rsidRDefault="005D3E58" w:rsidP="00DB26F9">
            <w:pPr>
              <w:jc w:val="center"/>
              <w:rPr>
                <w:rFonts w:ascii="Arial" w:hAnsi="Arial" w:cs="Arial"/>
                <w:sz w:val="16"/>
                <w:szCs w:val="16"/>
              </w:rPr>
            </w:pPr>
            <w:r w:rsidRPr="00DB26F9">
              <w:rPr>
                <w:rFonts w:ascii="Arial" w:hAnsi="Arial" w:cs="Arial"/>
                <w:sz w:val="16"/>
                <w:szCs w:val="16"/>
              </w:rPr>
              <w:t>0%</w:t>
            </w:r>
          </w:p>
        </w:tc>
        <w:tc>
          <w:tcPr>
            <w:tcW w:w="709" w:type="dxa"/>
            <w:tcBorders>
              <w:top w:val="single" w:sz="4" w:space="0" w:color="auto"/>
            </w:tcBorders>
            <w:vAlign w:val="center"/>
          </w:tcPr>
          <w:p w:rsidR="00DA6D15" w:rsidRPr="00DB26F9" w:rsidRDefault="005D3E58" w:rsidP="00DB26F9">
            <w:pPr>
              <w:jc w:val="center"/>
              <w:rPr>
                <w:rFonts w:ascii="Arial" w:hAnsi="Arial" w:cs="Arial"/>
                <w:sz w:val="16"/>
                <w:szCs w:val="16"/>
              </w:rPr>
            </w:pPr>
            <w:r w:rsidRPr="00DB26F9">
              <w:rPr>
                <w:rFonts w:ascii="Arial" w:hAnsi="Arial" w:cs="Arial"/>
                <w:sz w:val="16"/>
                <w:szCs w:val="16"/>
              </w:rPr>
              <w:t>5%</w:t>
            </w:r>
          </w:p>
        </w:tc>
      </w:tr>
    </w:tbl>
    <w:p w:rsidR="00C41A5E" w:rsidRDefault="00C41A5E" w:rsidP="00647F14">
      <w:pPr>
        <w:jc w:val="both"/>
        <w:rPr>
          <w:rFonts w:ascii="Arial" w:hAnsi="Arial" w:cs="Arial"/>
          <w:sz w:val="20"/>
          <w:szCs w:val="20"/>
        </w:rPr>
      </w:pPr>
    </w:p>
    <w:tbl>
      <w:tblPr>
        <w:tblW w:w="8897" w:type="dxa"/>
        <w:tblBorders>
          <w:top w:val="threeDEmboss" w:sz="12" w:space="0" w:color="auto"/>
          <w:left w:val="threeDEmboss" w:sz="12" w:space="0" w:color="auto"/>
          <w:right w:val="threeDEmboss" w:sz="12" w:space="0" w:color="auto"/>
          <w:insideH w:val="single" w:sz="4" w:space="0" w:color="auto"/>
          <w:insideV w:val="single" w:sz="4" w:space="0" w:color="auto"/>
        </w:tblBorders>
        <w:tblLayout w:type="fixed"/>
        <w:tblLook w:val="01E0" w:firstRow="1" w:lastRow="1" w:firstColumn="1" w:lastColumn="1" w:noHBand="0" w:noVBand="0"/>
      </w:tblPr>
      <w:tblGrid>
        <w:gridCol w:w="826"/>
        <w:gridCol w:w="558"/>
        <w:gridCol w:w="567"/>
        <w:gridCol w:w="567"/>
        <w:gridCol w:w="709"/>
        <w:gridCol w:w="3118"/>
        <w:gridCol w:w="1134"/>
        <w:gridCol w:w="709"/>
        <w:gridCol w:w="709"/>
      </w:tblGrid>
      <w:tr w:rsidR="00C41A5E" w:rsidRPr="00DB26F9" w:rsidTr="00B45DFF">
        <w:trPr>
          <w:trHeight w:val="397"/>
        </w:trPr>
        <w:tc>
          <w:tcPr>
            <w:tcW w:w="826" w:type="dxa"/>
            <w:tcBorders>
              <w:top w:val="threeDEmboss" w:sz="12" w:space="0" w:color="auto"/>
              <w:bottom w:val="single" w:sz="4" w:space="0" w:color="auto"/>
            </w:tcBorders>
            <w:shd w:val="clear" w:color="auto" w:fill="D6E3BC"/>
            <w:vAlign w:val="center"/>
          </w:tcPr>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Segmento</w:t>
            </w:r>
          </w:p>
        </w:tc>
        <w:tc>
          <w:tcPr>
            <w:tcW w:w="558" w:type="dxa"/>
            <w:tcBorders>
              <w:top w:val="threeDEmboss" w:sz="12" w:space="0" w:color="auto"/>
              <w:bottom w:val="single" w:sz="4" w:space="0" w:color="auto"/>
            </w:tcBorders>
            <w:shd w:val="clear" w:color="auto" w:fill="D6E3BC"/>
            <w:vAlign w:val="center"/>
          </w:tcPr>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Artigo</w:t>
            </w:r>
          </w:p>
        </w:tc>
        <w:tc>
          <w:tcPr>
            <w:tcW w:w="567" w:type="dxa"/>
            <w:tcBorders>
              <w:top w:val="threeDEmboss" w:sz="12" w:space="0" w:color="auto"/>
              <w:bottom w:val="single" w:sz="4" w:space="0" w:color="auto"/>
            </w:tcBorders>
            <w:shd w:val="clear" w:color="auto" w:fill="D6E3BC"/>
            <w:vAlign w:val="center"/>
          </w:tcPr>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inciso</w:t>
            </w:r>
          </w:p>
        </w:tc>
        <w:tc>
          <w:tcPr>
            <w:tcW w:w="567" w:type="dxa"/>
            <w:tcBorders>
              <w:top w:val="threeDEmboss" w:sz="12" w:space="0" w:color="auto"/>
              <w:bottom w:val="single" w:sz="4" w:space="0" w:color="auto"/>
            </w:tcBorders>
            <w:shd w:val="clear" w:color="auto" w:fill="D6E3BC"/>
            <w:vAlign w:val="center"/>
          </w:tcPr>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Alínea</w:t>
            </w:r>
          </w:p>
        </w:tc>
        <w:tc>
          <w:tcPr>
            <w:tcW w:w="709" w:type="dxa"/>
            <w:tcBorders>
              <w:top w:val="threeDEmboss" w:sz="12" w:space="0" w:color="auto"/>
              <w:bottom w:val="single" w:sz="4" w:space="0" w:color="auto"/>
            </w:tcBorders>
            <w:shd w:val="clear" w:color="auto" w:fill="D6E3BC"/>
            <w:vAlign w:val="center"/>
          </w:tcPr>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Limite</w:t>
            </w:r>
          </w:p>
          <w:p w:rsidR="00C41A5E" w:rsidRPr="00DB26F9" w:rsidRDefault="00C41A5E" w:rsidP="00B45DFF">
            <w:pPr>
              <w:ind w:left="-57" w:right="-57"/>
              <w:jc w:val="center"/>
              <w:rPr>
                <w:rFonts w:ascii="Arial" w:hAnsi="Arial" w:cs="Arial"/>
                <w:b/>
                <w:sz w:val="14"/>
                <w:szCs w:val="14"/>
              </w:rPr>
            </w:pPr>
            <w:r w:rsidRPr="00DB26F9">
              <w:rPr>
                <w:rFonts w:ascii="Arial" w:hAnsi="Arial" w:cs="Arial"/>
                <w:b/>
                <w:sz w:val="14"/>
                <w:szCs w:val="14"/>
              </w:rPr>
              <w:t>Aplicaç</w:t>
            </w:r>
            <w:r w:rsidR="00B45DFF">
              <w:rPr>
                <w:rFonts w:ascii="Arial" w:hAnsi="Arial" w:cs="Arial"/>
                <w:b/>
                <w:sz w:val="14"/>
                <w:szCs w:val="14"/>
              </w:rPr>
              <w:t>.</w:t>
            </w:r>
          </w:p>
        </w:tc>
        <w:tc>
          <w:tcPr>
            <w:tcW w:w="3118" w:type="dxa"/>
            <w:tcBorders>
              <w:top w:val="threeDEmboss" w:sz="12" w:space="0" w:color="auto"/>
              <w:bottom w:val="single" w:sz="4" w:space="0" w:color="auto"/>
            </w:tcBorders>
            <w:shd w:val="clear" w:color="auto" w:fill="D6E3BC"/>
            <w:vAlign w:val="center"/>
          </w:tcPr>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Tipo de Ativo</w:t>
            </w:r>
          </w:p>
        </w:tc>
        <w:tc>
          <w:tcPr>
            <w:tcW w:w="1134" w:type="dxa"/>
            <w:tcBorders>
              <w:top w:val="threeDEmboss" w:sz="12" w:space="0" w:color="auto"/>
              <w:bottom w:val="single" w:sz="4" w:space="0" w:color="auto"/>
            </w:tcBorders>
            <w:shd w:val="clear" w:color="auto" w:fill="D6E3BC"/>
            <w:vAlign w:val="center"/>
          </w:tcPr>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Limite de</w:t>
            </w:r>
          </w:p>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Diversificação</w:t>
            </w:r>
          </w:p>
        </w:tc>
        <w:tc>
          <w:tcPr>
            <w:tcW w:w="709" w:type="dxa"/>
            <w:tcBorders>
              <w:top w:val="threeDEmboss" w:sz="12" w:space="0" w:color="auto"/>
              <w:bottom w:val="single" w:sz="4" w:space="0" w:color="auto"/>
            </w:tcBorders>
            <w:shd w:val="clear" w:color="auto" w:fill="D6E3BC"/>
            <w:vAlign w:val="center"/>
          </w:tcPr>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Limite</w:t>
            </w:r>
          </w:p>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Mínimo</w:t>
            </w:r>
          </w:p>
        </w:tc>
        <w:tc>
          <w:tcPr>
            <w:tcW w:w="709" w:type="dxa"/>
            <w:tcBorders>
              <w:top w:val="threeDEmboss" w:sz="12" w:space="0" w:color="auto"/>
              <w:bottom w:val="single" w:sz="4" w:space="0" w:color="auto"/>
            </w:tcBorders>
            <w:shd w:val="clear" w:color="auto" w:fill="D6E3BC"/>
            <w:vAlign w:val="center"/>
          </w:tcPr>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Limite</w:t>
            </w:r>
          </w:p>
          <w:p w:rsidR="00C41A5E" w:rsidRPr="00DB26F9" w:rsidRDefault="00C41A5E" w:rsidP="00DB26F9">
            <w:pPr>
              <w:ind w:left="-57" w:right="-57"/>
              <w:jc w:val="center"/>
              <w:rPr>
                <w:rFonts w:ascii="Arial" w:hAnsi="Arial" w:cs="Arial"/>
                <w:b/>
                <w:sz w:val="14"/>
                <w:szCs w:val="14"/>
              </w:rPr>
            </w:pPr>
            <w:r w:rsidRPr="00DB26F9">
              <w:rPr>
                <w:rFonts w:ascii="Arial" w:hAnsi="Arial" w:cs="Arial"/>
                <w:b/>
                <w:sz w:val="14"/>
                <w:szCs w:val="14"/>
              </w:rPr>
              <w:t>Máximo</w:t>
            </w:r>
          </w:p>
        </w:tc>
      </w:tr>
      <w:tr w:rsidR="00C41A5E" w:rsidRPr="00DB26F9" w:rsidTr="00AC5D48">
        <w:tblPrEx>
          <w:tblBorders>
            <w:bottom w:val="threeDEmboss" w:sz="12" w:space="0" w:color="auto"/>
          </w:tblBorders>
        </w:tblPrEx>
        <w:tc>
          <w:tcPr>
            <w:tcW w:w="826" w:type="dxa"/>
            <w:vMerge w:val="restart"/>
            <w:tcBorders>
              <w:top w:val="single" w:sz="4" w:space="0" w:color="auto"/>
              <w:bottom w:val="single" w:sz="4" w:space="0" w:color="auto"/>
            </w:tcBorders>
            <w:vAlign w:val="center"/>
          </w:tcPr>
          <w:p w:rsidR="00AC5D48" w:rsidRDefault="00AC5D48" w:rsidP="00AC5D48">
            <w:pPr>
              <w:jc w:val="right"/>
              <w:rPr>
                <w:rFonts w:ascii="Arial" w:hAnsi="Arial" w:cs="Arial"/>
                <w:b/>
                <w:sz w:val="16"/>
                <w:szCs w:val="16"/>
              </w:rPr>
            </w:pPr>
          </w:p>
          <w:p w:rsidR="00AC5D48" w:rsidRDefault="00AC5D48" w:rsidP="00AC5D48">
            <w:pPr>
              <w:jc w:val="right"/>
              <w:rPr>
                <w:rFonts w:ascii="Arial" w:hAnsi="Arial" w:cs="Arial"/>
                <w:b/>
                <w:sz w:val="16"/>
                <w:szCs w:val="16"/>
              </w:rPr>
            </w:pPr>
          </w:p>
          <w:p w:rsidR="00AC5D48" w:rsidRDefault="00AC5D48" w:rsidP="00AC5D48">
            <w:pPr>
              <w:jc w:val="right"/>
              <w:rPr>
                <w:rFonts w:ascii="Arial" w:hAnsi="Arial" w:cs="Arial"/>
                <w:b/>
                <w:sz w:val="16"/>
                <w:szCs w:val="16"/>
              </w:rPr>
            </w:pPr>
          </w:p>
          <w:p w:rsidR="00AC5D48" w:rsidRDefault="00AC5D48" w:rsidP="00AC5D48">
            <w:pPr>
              <w:jc w:val="right"/>
              <w:rPr>
                <w:rFonts w:ascii="Arial" w:hAnsi="Arial" w:cs="Arial"/>
                <w:b/>
                <w:sz w:val="16"/>
                <w:szCs w:val="16"/>
              </w:rPr>
            </w:pPr>
          </w:p>
          <w:p w:rsidR="00C41A5E" w:rsidRPr="00AC5D48" w:rsidRDefault="00C41A5E" w:rsidP="00AC5D48">
            <w:pPr>
              <w:jc w:val="right"/>
              <w:rPr>
                <w:rFonts w:ascii="Arial" w:hAnsi="Arial" w:cs="Arial"/>
                <w:b/>
                <w:sz w:val="16"/>
                <w:szCs w:val="16"/>
              </w:rPr>
            </w:pPr>
            <w:r w:rsidRPr="00AC5D48">
              <w:rPr>
                <w:rFonts w:ascii="Arial" w:hAnsi="Arial" w:cs="Arial"/>
                <w:b/>
                <w:sz w:val="16"/>
                <w:szCs w:val="16"/>
              </w:rPr>
              <w:t>RENDA VARIÁVEL</w:t>
            </w:r>
          </w:p>
          <w:p w:rsidR="00C41A5E" w:rsidRPr="00AC5D48" w:rsidRDefault="00C41A5E" w:rsidP="00AC5D48">
            <w:pPr>
              <w:jc w:val="right"/>
              <w:rPr>
                <w:rFonts w:ascii="Arial" w:hAnsi="Arial" w:cs="Arial"/>
                <w:b/>
                <w:sz w:val="16"/>
                <w:szCs w:val="16"/>
              </w:rPr>
            </w:pPr>
            <w:r w:rsidRPr="00AC5D48">
              <w:rPr>
                <w:rFonts w:ascii="Arial" w:hAnsi="Arial" w:cs="Arial"/>
                <w:b/>
                <w:sz w:val="16"/>
                <w:szCs w:val="16"/>
              </w:rPr>
              <w:t>(Máximo 30%)</w:t>
            </w:r>
          </w:p>
        </w:tc>
        <w:tc>
          <w:tcPr>
            <w:tcW w:w="558" w:type="dxa"/>
            <w:vMerge w:val="restart"/>
            <w:tcBorders>
              <w:top w:val="single" w:sz="4" w:space="0" w:color="auto"/>
              <w:bottom w:val="single" w:sz="4" w:space="0" w:color="auto"/>
            </w:tcBorders>
            <w:vAlign w:val="center"/>
          </w:tcPr>
          <w:p w:rsidR="00C41A5E" w:rsidRPr="00DB26F9" w:rsidRDefault="006F7990" w:rsidP="00DB26F9">
            <w:pPr>
              <w:jc w:val="center"/>
              <w:rPr>
                <w:rFonts w:ascii="Arial" w:hAnsi="Arial" w:cs="Arial"/>
                <w:sz w:val="16"/>
                <w:szCs w:val="16"/>
              </w:rPr>
            </w:pPr>
            <w:r>
              <w:rPr>
                <w:rFonts w:ascii="Arial" w:hAnsi="Arial" w:cs="Arial"/>
                <w:sz w:val="16"/>
                <w:szCs w:val="16"/>
              </w:rPr>
              <w:lastRenderedPageBreak/>
              <w:t>8</w:t>
            </w:r>
            <w:r w:rsidR="00C41A5E" w:rsidRPr="00DB26F9">
              <w:rPr>
                <w:rFonts w:ascii="Arial" w:hAnsi="Arial" w:cs="Arial"/>
                <w:sz w:val="16"/>
                <w:szCs w:val="16"/>
              </w:rPr>
              <w:t>º</w:t>
            </w:r>
          </w:p>
        </w:tc>
        <w:tc>
          <w:tcPr>
            <w:tcW w:w="567" w:type="dxa"/>
            <w:tcBorders>
              <w:top w:val="single" w:sz="4" w:space="0" w:color="auto"/>
            </w:tcBorders>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I</w:t>
            </w:r>
          </w:p>
        </w:tc>
        <w:tc>
          <w:tcPr>
            <w:tcW w:w="567" w:type="dxa"/>
            <w:tcBorders>
              <w:top w:val="single" w:sz="4" w:space="0" w:color="auto"/>
            </w:tcBorders>
            <w:vAlign w:val="center"/>
          </w:tcPr>
          <w:p w:rsidR="00C41A5E" w:rsidRPr="00DB26F9" w:rsidRDefault="00C41A5E" w:rsidP="00DB26F9">
            <w:pPr>
              <w:jc w:val="center"/>
              <w:rPr>
                <w:rFonts w:ascii="Arial" w:hAnsi="Arial" w:cs="Arial"/>
                <w:sz w:val="16"/>
                <w:szCs w:val="16"/>
              </w:rPr>
            </w:pPr>
          </w:p>
        </w:tc>
        <w:tc>
          <w:tcPr>
            <w:tcW w:w="709" w:type="dxa"/>
            <w:tcBorders>
              <w:top w:val="single" w:sz="4" w:space="0" w:color="auto"/>
            </w:tcBorders>
            <w:vAlign w:val="center"/>
          </w:tcPr>
          <w:p w:rsidR="00C41A5E" w:rsidRPr="00DB26F9" w:rsidRDefault="00EB5FBA" w:rsidP="00DB26F9">
            <w:pPr>
              <w:jc w:val="center"/>
              <w:rPr>
                <w:rFonts w:ascii="Arial" w:hAnsi="Arial" w:cs="Arial"/>
                <w:sz w:val="16"/>
                <w:szCs w:val="16"/>
              </w:rPr>
            </w:pPr>
            <w:r>
              <w:rPr>
                <w:rFonts w:ascii="Arial" w:hAnsi="Arial" w:cs="Arial"/>
                <w:sz w:val="16"/>
                <w:szCs w:val="16"/>
              </w:rPr>
              <w:t>2</w:t>
            </w:r>
            <w:r w:rsidR="00C41A5E" w:rsidRPr="00DB26F9">
              <w:rPr>
                <w:rFonts w:ascii="Arial" w:hAnsi="Arial" w:cs="Arial"/>
                <w:sz w:val="16"/>
                <w:szCs w:val="16"/>
              </w:rPr>
              <w:t>0%</w:t>
            </w:r>
          </w:p>
        </w:tc>
        <w:tc>
          <w:tcPr>
            <w:tcW w:w="3118" w:type="dxa"/>
            <w:tcBorders>
              <w:top w:val="single" w:sz="4" w:space="0" w:color="auto"/>
            </w:tcBorders>
            <w:vAlign w:val="center"/>
          </w:tcPr>
          <w:p w:rsidR="00C41A5E" w:rsidRPr="00C130AE" w:rsidRDefault="00C646D6" w:rsidP="00C130AE">
            <w:pPr>
              <w:ind w:left="-57" w:right="-57"/>
              <w:jc w:val="both"/>
              <w:rPr>
                <w:rFonts w:ascii="Arial" w:hAnsi="Arial" w:cs="Arial"/>
                <w:sz w:val="14"/>
                <w:szCs w:val="14"/>
              </w:rPr>
            </w:pPr>
            <w:r w:rsidRPr="00C130AE">
              <w:rPr>
                <w:rFonts w:ascii="Arial" w:hAnsi="Arial" w:cs="Arial"/>
                <w:bCs/>
                <w:sz w:val="14"/>
                <w:szCs w:val="14"/>
              </w:rPr>
              <w:t>Em</w:t>
            </w:r>
            <w:r w:rsidR="00C130AE" w:rsidRPr="00C130AE">
              <w:rPr>
                <w:rFonts w:ascii="Arial" w:hAnsi="Arial" w:cs="Arial"/>
                <w:bCs/>
                <w:sz w:val="14"/>
                <w:szCs w:val="14"/>
              </w:rPr>
              <w:t xml:space="preserve"> cotas de </w:t>
            </w:r>
            <w:r w:rsidR="00C41A5E" w:rsidRPr="00C130AE">
              <w:rPr>
                <w:rFonts w:ascii="Arial" w:hAnsi="Arial" w:cs="Arial"/>
                <w:bCs/>
                <w:sz w:val="14"/>
                <w:szCs w:val="14"/>
              </w:rPr>
              <w:t>fundos de investimento</w:t>
            </w:r>
            <w:r w:rsidRPr="00C130AE">
              <w:rPr>
                <w:rFonts w:ascii="Arial" w:hAnsi="Arial" w:cs="Arial"/>
                <w:bCs/>
                <w:sz w:val="14"/>
                <w:szCs w:val="14"/>
              </w:rPr>
              <w:t>,</w:t>
            </w:r>
            <w:r w:rsidR="00C41A5E" w:rsidRPr="00C130AE">
              <w:rPr>
                <w:rFonts w:ascii="Arial" w:hAnsi="Arial" w:cs="Arial"/>
                <w:sz w:val="14"/>
                <w:szCs w:val="14"/>
              </w:rPr>
              <w:t>constituídos sob a forma de condomínio aberto</w:t>
            </w:r>
            <w:r w:rsidRPr="00C130AE">
              <w:rPr>
                <w:rFonts w:ascii="Arial" w:hAnsi="Arial" w:cs="Arial"/>
                <w:sz w:val="14"/>
                <w:szCs w:val="14"/>
              </w:rPr>
              <w:t xml:space="preserve"> e classificados como referenciados que identifiquem em sua denominação e em sua </w:t>
            </w:r>
            <w:r w:rsidRPr="00C130AE">
              <w:rPr>
                <w:rFonts w:ascii="Arial" w:hAnsi="Arial" w:cs="Arial"/>
                <w:sz w:val="14"/>
                <w:szCs w:val="14"/>
              </w:rPr>
              <w:lastRenderedPageBreak/>
              <w:t>política de investimento indicador de desempenho vinculado ao índice Ibovespa, IBrX ou IBrX-50.</w:t>
            </w:r>
          </w:p>
        </w:tc>
        <w:tc>
          <w:tcPr>
            <w:tcW w:w="1134" w:type="dxa"/>
            <w:tcBorders>
              <w:top w:val="single" w:sz="4" w:space="0" w:color="auto"/>
            </w:tcBorders>
            <w:vAlign w:val="center"/>
          </w:tcPr>
          <w:p w:rsidR="00C41A5E" w:rsidRPr="00DB26F9" w:rsidRDefault="00EB5FBA" w:rsidP="00DB26F9">
            <w:pPr>
              <w:ind w:left="-113" w:right="-113"/>
              <w:jc w:val="center"/>
              <w:rPr>
                <w:rFonts w:ascii="Arial" w:hAnsi="Arial" w:cs="Arial"/>
                <w:bCs/>
                <w:sz w:val="16"/>
                <w:szCs w:val="16"/>
              </w:rPr>
            </w:pPr>
            <w:r>
              <w:rPr>
                <w:rFonts w:ascii="Arial" w:hAnsi="Arial" w:cs="Arial"/>
                <w:bCs/>
                <w:sz w:val="16"/>
                <w:szCs w:val="16"/>
              </w:rPr>
              <w:lastRenderedPageBreak/>
              <w:t>2</w:t>
            </w:r>
            <w:r w:rsidR="00E55076">
              <w:rPr>
                <w:rFonts w:ascii="Arial" w:hAnsi="Arial" w:cs="Arial"/>
                <w:bCs/>
                <w:sz w:val="16"/>
                <w:szCs w:val="16"/>
              </w:rPr>
              <w:t>0</w:t>
            </w:r>
            <w:r w:rsidR="00C41A5E" w:rsidRPr="00DB26F9">
              <w:rPr>
                <w:rFonts w:ascii="Arial" w:hAnsi="Arial" w:cs="Arial"/>
                <w:bCs/>
                <w:sz w:val="16"/>
                <w:szCs w:val="16"/>
              </w:rPr>
              <w:t>% PL RPPS</w:t>
            </w:r>
          </w:p>
          <w:p w:rsidR="00C41A5E" w:rsidRPr="00DB26F9" w:rsidRDefault="00C41A5E" w:rsidP="00DB26F9">
            <w:pPr>
              <w:ind w:left="-113" w:right="-113"/>
              <w:jc w:val="center"/>
              <w:rPr>
                <w:rFonts w:ascii="Arial" w:hAnsi="Arial" w:cs="Arial"/>
                <w:sz w:val="16"/>
                <w:szCs w:val="16"/>
              </w:rPr>
            </w:pPr>
            <w:r w:rsidRPr="00DB26F9">
              <w:rPr>
                <w:rFonts w:ascii="Arial" w:hAnsi="Arial" w:cs="Arial"/>
                <w:sz w:val="16"/>
                <w:szCs w:val="16"/>
              </w:rPr>
              <w:t>25% PL FI</w:t>
            </w:r>
          </w:p>
        </w:tc>
        <w:tc>
          <w:tcPr>
            <w:tcW w:w="709" w:type="dxa"/>
            <w:tcBorders>
              <w:top w:val="single" w:sz="4" w:space="0" w:color="auto"/>
            </w:tcBorders>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0%</w:t>
            </w:r>
          </w:p>
        </w:tc>
        <w:tc>
          <w:tcPr>
            <w:tcW w:w="709" w:type="dxa"/>
            <w:tcBorders>
              <w:top w:val="single" w:sz="4" w:space="0" w:color="auto"/>
            </w:tcBorders>
            <w:vAlign w:val="center"/>
          </w:tcPr>
          <w:p w:rsidR="00C41A5E" w:rsidRPr="00DB26F9" w:rsidRDefault="00EB5FBA" w:rsidP="00DB26F9">
            <w:pPr>
              <w:jc w:val="center"/>
              <w:rPr>
                <w:rFonts w:ascii="Arial" w:hAnsi="Arial" w:cs="Arial"/>
                <w:sz w:val="16"/>
                <w:szCs w:val="16"/>
              </w:rPr>
            </w:pPr>
            <w:r>
              <w:rPr>
                <w:rFonts w:ascii="Arial" w:hAnsi="Arial" w:cs="Arial"/>
                <w:sz w:val="16"/>
                <w:szCs w:val="16"/>
              </w:rPr>
              <w:t>2</w:t>
            </w:r>
            <w:r w:rsidR="00C41A5E" w:rsidRPr="00DB26F9">
              <w:rPr>
                <w:rFonts w:ascii="Arial" w:hAnsi="Arial" w:cs="Arial"/>
                <w:sz w:val="16"/>
                <w:szCs w:val="16"/>
              </w:rPr>
              <w:t>0%</w:t>
            </w:r>
          </w:p>
        </w:tc>
      </w:tr>
      <w:tr w:rsidR="00C41A5E" w:rsidRPr="00DB26F9" w:rsidTr="00B45DFF">
        <w:tblPrEx>
          <w:tblBorders>
            <w:bottom w:val="threeDEmboss" w:sz="12" w:space="0" w:color="auto"/>
          </w:tblBorders>
        </w:tblPrEx>
        <w:tc>
          <w:tcPr>
            <w:tcW w:w="826" w:type="dxa"/>
            <w:vMerge/>
            <w:tcBorders>
              <w:top w:val="double" w:sz="4" w:space="0" w:color="auto"/>
              <w:bottom w:val="single" w:sz="4" w:space="0" w:color="auto"/>
            </w:tcBorders>
            <w:vAlign w:val="center"/>
          </w:tcPr>
          <w:p w:rsidR="00C41A5E" w:rsidRPr="00DB26F9" w:rsidRDefault="00C41A5E" w:rsidP="00DB26F9">
            <w:pPr>
              <w:jc w:val="center"/>
              <w:rPr>
                <w:rFonts w:ascii="Arial" w:hAnsi="Arial" w:cs="Arial"/>
                <w:sz w:val="16"/>
                <w:szCs w:val="16"/>
              </w:rPr>
            </w:pPr>
          </w:p>
        </w:tc>
        <w:tc>
          <w:tcPr>
            <w:tcW w:w="558" w:type="dxa"/>
            <w:vMerge/>
            <w:tcBorders>
              <w:top w:val="double" w:sz="4" w:space="0" w:color="auto"/>
              <w:bottom w:val="single" w:sz="4" w:space="0" w:color="auto"/>
            </w:tcBorders>
            <w:vAlign w:val="center"/>
          </w:tcPr>
          <w:p w:rsidR="00C41A5E" w:rsidRPr="00DB26F9" w:rsidRDefault="00C41A5E" w:rsidP="00DB26F9">
            <w:pPr>
              <w:jc w:val="center"/>
              <w:rPr>
                <w:rFonts w:ascii="Arial" w:hAnsi="Arial" w:cs="Arial"/>
                <w:sz w:val="16"/>
                <w:szCs w:val="16"/>
              </w:rPr>
            </w:pPr>
          </w:p>
        </w:tc>
        <w:tc>
          <w:tcPr>
            <w:tcW w:w="567"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II</w:t>
            </w:r>
          </w:p>
        </w:tc>
        <w:tc>
          <w:tcPr>
            <w:tcW w:w="567" w:type="dxa"/>
            <w:vAlign w:val="center"/>
          </w:tcPr>
          <w:p w:rsidR="00C41A5E" w:rsidRPr="00DB26F9" w:rsidRDefault="00C41A5E" w:rsidP="00DB26F9">
            <w:pPr>
              <w:jc w:val="center"/>
              <w:rPr>
                <w:rFonts w:ascii="Arial" w:hAnsi="Arial" w:cs="Arial"/>
                <w:sz w:val="16"/>
                <w:szCs w:val="16"/>
              </w:rPr>
            </w:pPr>
          </w:p>
        </w:tc>
        <w:tc>
          <w:tcPr>
            <w:tcW w:w="709"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20%</w:t>
            </w:r>
          </w:p>
        </w:tc>
        <w:tc>
          <w:tcPr>
            <w:tcW w:w="3118" w:type="dxa"/>
            <w:vAlign w:val="center"/>
          </w:tcPr>
          <w:p w:rsidR="00C41A5E" w:rsidRPr="00C646D6" w:rsidRDefault="00C41A5E" w:rsidP="00DB26F9">
            <w:pPr>
              <w:ind w:left="-57" w:right="-57"/>
              <w:jc w:val="both"/>
              <w:rPr>
                <w:rFonts w:ascii="Arial" w:hAnsi="Arial" w:cs="Arial"/>
                <w:bCs/>
                <w:sz w:val="14"/>
                <w:szCs w:val="14"/>
              </w:rPr>
            </w:pPr>
            <w:r w:rsidRPr="00C646D6">
              <w:rPr>
                <w:rFonts w:ascii="Arial" w:hAnsi="Arial" w:cs="Arial"/>
                <w:bCs/>
                <w:sz w:val="14"/>
                <w:szCs w:val="14"/>
              </w:rPr>
              <w:t xml:space="preserve">Cotas de fundos de índices </w:t>
            </w:r>
            <w:r w:rsidRPr="00C646D6">
              <w:rPr>
                <w:rFonts w:ascii="Arial" w:hAnsi="Arial" w:cs="Arial"/>
                <w:sz w:val="14"/>
                <w:szCs w:val="14"/>
              </w:rPr>
              <w:t>referenciados em ações, negociadas em bolsa de valores, admitindo-se exclusivamente os índices Ibovespa, IBrX e IBrX-50</w:t>
            </w:r>
          </w:p>
        </w:tc>
        <w:tc>
          <w:tcPr>
            <w:tcW w:w="1134" w:type="dxa"/>
            <w:vAlign w:val="center"/>
          </w:tcPr>
          <w:p w:rsidR="00C41A5E" w:rsidRPr="00DB26F9" w:rsidRDefault="005C1DD5" w:rsidP="00DB26F9">
            <w:pPr>
              <w:ind w:left="-113" w:right="-113"/>
              <w:jc w:val="center"/>
              <w:rPr>
                <w:rFonts w:ascii="Arial" w:hAnsi="Arial" w:cs="Arial"/>
                <w:bCs/>
                <w:sz w:val="16"/>
                <w:szCs w:val="16"/>
              </w:rPr>
            </w:pPr>
            <w:r>
              <w:rPr>
                <w:rFonts w:ascii="Arial" w:hAnsi="Arial" w:cs="Arial"/>
                <w:bCs/>
                <w:sz w:val="16"/>
                <w:szCs w:val="16"/>
              </w:rPr>
              <w:t>25</w:t>
            </w:r>
            <w:r w:rsidR="00C41A5E" w:rsidRPr="00DB26F9">
              <w:rPr>
                <w:rFonts w:ascii="Arial" w:hAnsi="Arial" w:cs="Arial"/>
                <w:bCs/>
                <w:sz w:val="16"/>
                <w:szCs w:val="16"/>
              </w:rPr>
              <w:t>% PL FI</w:t>
            </w:r>
          </w:p>
        </w:tc>
        <w:tc>
          <w:tcPr>
            <w:tcW w:w="709"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0%</w:t>
            </w:r>
          </w:p>
        </w:tc>
        <w:tc>
          <w:tcPr>
            <w:tcW w:w="709"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20%</w:t>
            </w:r>
          </w:p>
        </w:tc>
      </w:tr>
      <w:tr w:rsidR="00C41A5E" w:rsidRPr="00DB26F9" w:rsidTr="00B45DFF">
        <w:tblPrEx>
          <w:tblBorders>
            <w:bottom w:val="threeDEmboss" w:sz="12" w:space="0" w:color="auto"/>
          </w:tblBorders>
        </w:tblPrEx>
        <w:tc>
          <w:tcPr>
            <w:tcW w:w="826" w:type="dxa"/>
            <w:vMerge/>
            <w:tcBorders>
              <w:top w:val="double" w:sz="4" w:space="0" w:color="auto"/>
              <w:bottom w:val="single" w:sz="4" w:space="0" w:color="auto"/>
            </w:tcBorders>
            <w:vAlign w:val="center"/>
          </w:tcPr>
          <w:p w:rsidR="00C41A5E" w:rsidRPr="00DB26F9" w:rsidRDefault="00C41A5E" w:rsidP="00DB26F9">
            <w:pPr>
              <w:jc w:val="center"/>
              <w:rPr>
                <w:rFonts w:ascii="Arial" w:hAnsi="Arial" w:cs="Arial"/>
                <w:sz w:val="16"/>
                <w:szCs w:val="16"/>
              </w:rPr>
            </w:pPr>
          </w:p>
        </w:tc>
        <w:tc>
          <w:tcPr>
            <w:tcW w:w="558" w:type="dxa"/>
            <w:vMerge/>
            <w:tcBorders>
              <w:top w:val="double" w:sz="4" w:space="0" w:color="auto"/>
              <w:bottom w:val="single" w:sz="4" w:space="0" w:color="auto"/>
            </w:tcBorders>
            <w:vAlign w:val="center"/>
          </w:tcPr>
          <w:p w:rsidR="00C41A5E" w:rsidRPr="00DB26F9" w:rsidRDefault="00C41A5E" w:rsidP="00DB26F9">
            <w:pPr>
              <w:jc w:val="center"/>
              <w:rPr>
                <w:rFonts w:ascii="Arial" w:hAnsi="Arial" w:cs="Arial"/>
                <w:sz w:val="16"/>
                <w:szCs w:val="16"/>
              </w:rPr>
            </w:pPr>
          </w:p>
        </w:tc>
        <w:tc>
          <w:tcPr>
            <w:tcW w:w="567"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III</w:t>
            </w:r>
          </w:p>
        </w:tc>
        <w:tc>
          <w:tcPr>
            <w:tcW w:w="567" w:type="dxa"/>
            <w:vAlign w:val="center"/>
          </w:tcPr>
          <w:p w:rsidR="00C41A5E" w:rsidRPr="00DB26F9" w:rsidRDefault="00C41A5E" w:rsidP="00DB26F9">
            <w:pPr>
              <w:jc w:val="center"/>
              <w:rPr>
                <w:rFonts w:ascii="Arial" w:hAnsi="Arial" w:cs="Arial"/>
                <w:sz w:val="16"/>
                <w:szCs w:val="16"/>
              </w:rPr>
            </w:pPr>
          </w:p>
        </w:tc>
        <w:tc>
          <w:tcPr>
            <w:tcW w:w="709"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15%</w:t>
            </w:r>
          </w:p>
        </w:tc>
        <w:tc>
          <w:tcPr>
            <w:tcW w:w="3118" w:type="dxa"/>
            <w:vAlign w:val="center"/>
          </w:tcPr>
          <w:p w:rsidR="00C41A5E" w:rsidRPr="00C646D6" w:rsidRDefault="00C41A5E" w:rsidP="00DB26F9">
            <w:pPr>
              <w:ind w:left="-57" w:right="-57"/>
              <w:jc w:val="both"/>
              <w:rPr>
                <w:rFonts w:ascii="Arial" w:hAnsi="Arial" w:cs="Arial"/>
                <w:bCs/>
                <w:sz w:val="14"/>
                <w:szCs w:val="14"/>
              </w:rPr>
            </w:pPr>
            <w:r w:rsidRPr="00C646D6">
              <w:rPr>
                <w:rFonts w:ascii="Arial" w:hAnsi="Arial" w:cs="Arial"/>
                <w:bCs/>
                <w:sz w:val="14"/>
                <w:szCs w:val="14"/>
              </w:rPr>
              <w:t xml:space="preserve">Cotas de fundos de investimento em ações </w:t>
            </w:r>
            <w:r w:rsidRPr="00C646D6">
              <w:rPr>
                <w:rFonts w:ascii="Arial" w:hAnsi="Arial" w:cs="Arial"/>
                <w:sz w:val="14"/>
                <w:szCs w:val="14"/>
              </w:rPr>
              <w:t>constituídos sob a forma de condomínio aberto, cujos regulamentos dos fundos determinem que as cotas de fundos de índices referenciados em ações que compõem suas carteiras estejam no âmbito dos índices previstos no inciso II deste artigo</w:t>
            </w:r>
          </w:p>
        </w:tc>
        <w:tc>
          <w:tcPr>
            <w:tcW w:w="1134" w:type="dxa"/>
            <w:vAlign w:val="center"/>
          </w:tcPr>
          <w:p w:rsidR="00C41A5E" w:rsidRPr="00DB26F9" w:rsidRDefault="005C1DD5" w:rsidP="00DB26F9">
            <w:pPr>
              <w:ind w:left="-113" w:right="-113"/>
              <w:jc w:val="center"/>
              <w:rPr>
                <w:rFonts w:ascii="Arial" w:hAnsi="Arial" w:cs="Arial"/>
                <w:bCs/>
                <w:sz w:val="16"/>
                <w:szCs w:val="16"/>
              </w:rPr>
            </w:pPr>
            <w:r>
              <w:rPr>
                <w:rFonts w:ascii="Arial" w:hAnsi="Arial" w:cs="Arial"/>
                <w:bCs/>
                <w:sz w:val="16"/>
                <w:szCs w:val="16"/>
              </w:rPr>
              <w:t>25</w:t>
            </w:r>
            <w:r w:rsidR="00C41A5E" w:rsidRPr="00DB26F9">
              <w:rPr>
                <w:rFonts w:ascii="Arial" w:hAnsi="Arial" w:cs="Arial"/>
                <w:bCs/>
                <w:sz w:val="16"/>
                <w:szCs w:val="16"/>
              </w:rPr>
              <w:t>% PL FI</w:t>
            </w:r>
          </w:p>
        </w:tc>
        <w:tc>
          <w:tcPr>
            <w:tcW w:w="709"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0%</w:t>
            </w:r>
          </w:p>
        </w:tc>
        <w:tc>
          <w:tcPr>
            <w:tcW w:w="709"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15%</w:t>
            </w:r>
          </w:p>
        </w:tc>
      </w:tr>
      <w:tr w:rsidR="00C41A5E" w:rsidRPr="00DB26F9" w:rsidTr="00B45DFF">
        <w:tblPrEx>
          <w:tblBorders>
            <w:bottom w:val="threeDEmboss" w:sz="12" w:space="0" w:color="auto"/>
          </w:tblBorders>
        </w:tblPrEx>
        <w:tc>
          <w:tcPr>
            <w:tcW w:w="826" w:type="dxa"/>
            <w:vMerge/>
            <w:tcBorders>
              <w:top w:val="double" w:sz="4" w:space="0" w:color="auto"/>
              <w:bottom w:val="single" w:sz="4" w:space="0" w:color="auto"/>
            </w:tcBorders>
            <w:vAlign w:val="center"/>
          </w:tcPr>
          <w:p w:rsidR="00C41A5E" w:rsidRPr="00DB26F9" w:rsidRDefault="00C41A5E" w:rsidP="00DB26F9">
            <w:pPr>
              <w:jc w:val="center"/>
              <w:rPr>
                <w:rFonts w:ascii="Arial" w:hAnsi="Arial" w:cs="Arial"/>
                <w:sz w:val="16"/>
                <w:szCs w:val="16"/>
              </w:rPr>
            </w:pPr>
          </w:p>
        </w:tc>
        <w:tc>
          <w:tcPr>
            <w:tcW w:w="558" w:type="dxa"/>
            <w:vMerge/>
            <w:tcBorders>
              <w:top w:val="double" w:sz="4" w:space="0" w:color="auto"/>
              <w:bottom w:val="single" w:sz="4" w:space="0" w:color="auto"/>
            </w:tcBorders>
            <w:vAlign w:val="center"/>
          </w:tcPr>
          <w:p w:rsidR="00C41A5E" w:rsidRPr="00DB26F9" w:rsidRDefault="00C41A5E" w:rsidP="00DB26F9">
            <w:pPr>
              <w:jc w:val="center"/>
              <w:rPr>
                <w:rFonts w:ascii="Arial" w:hAnsi="Arial" w:cs="Arial"/>
                <w:sz w:val="16"/>
                <w:szCs w:val="16"/>
              </w:rPr>
            </w:pPr>
          </w:p>
        </w:tc>
        <w:tc>
          <w:tcPr>
            <w:tcW w:w="567"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IV</w:t>
            </w:r>
          </w:p>
        </w:tc>
        <w:tc>
          <w:tcPr>
            <w:tcW w:w="567" w:type="dxa"/>
            <w:vAlign w:val="center"/>
          </w:tcPr>
          <w:p w:rsidR="00C41A5E" w:rsidRPr="00DB26F9" w:rsidRDefault="00C41A5E" w:rsidP="00DB26F9">
            <w:pPr>
              <w:jc w:val="center"/>
              <w:rPr>
                <w:rFonts w:ascii="Arial" w:hAnsi="Arial" w:cs="Arial"/>
                <w:sz w:val="16"/>
                <w:szCs w:val="16"/>
              </w:rPr>
            </w:pPr>
          </w:p>
        </w:tc>
        <w:tc>
          <w:tcPr>
            <w:tcW w:w="709"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5%</w:t>
            </w:r>
          </w:p>
        </w:tc>
        <w:tc>
          <w:tcPr>
            <w:tcW w:w="3118" w:type="dxa"/>
            <w:vAlign w:val="center"/>
          </w:tcPr>
          <w:p w:rsidR="00C41A5E" w:rsidRPr="00C646D6" w:rsidRDefault="00C41A5E" w:rsidP="00DB26F9">
            <w:pPr>
              <w:ind w:left="-57" w:right="-57"/>
              <w:jc w:val="both"/>
              <w:rPr>
                <w:rFonts w:ascii="Arial" w:hAnsi="Arial" w:cs="Arial"/>
                <w:bCs/>
                <w:sz w:val="14"/>
                <w:szCs w:val="14"/>
              </w:rPr>
            </w:pPr>
            <w:r w:rsidRPr="00C646D6">
              <w:rPr>
                <w:rFonts w:ascii="Arial" w:hAnsi="Arial" w:cs="Arial"/>
                <w:bCs/>
                <w:sz w:val="14"/>
                <w:szCs w:val="14"/>
              </w:rPr>
              <w:t xml:space="preserve">Cotas de fundos de investimento classificados </w:t>
            </w:r>
            <w:r w:rsidRPr="00C646D6">
              <w:rPr>
                <w:rFonts w:ascii="Arial" w:hAnsi="Arial" w:cs="Arial"/>
                <w:sz w:val="14"/>
                <w:szCs w:val="14"/>
              </w:rPr>
              <w:t>como multimercado, constituídos sob a forma de condomínio aberto, cujos regulamentos determinem tratar-se de fundos sem alavancagem,</w:t>
            </w:r>
          </w:p>
        </w:tc>
        <w:tc>
          <w:tcPr>
            <w:tcW w:w="1134" w:type="dxa"/>
            <w:vAlign w:val="center"/>
          </w:tcPr>
          <w:p w:rsidR="00C41A5E" w:rsidRPr="00DB26F9" w:rsidRDefault="005C1DD5" w:rsidP="00DB26F9">
            <w:pPr>
              <w:ind w:left="-113" w:right="-113"/>
              <w:jc w:val="center"/>
              <w:rPr>
                <w:rFonts w:ascii="Arial" w:hAnsi="Arial" w:cs="Arial"/>
                <w:bCs/>
                <w:sz w:val="16"/>
                <w:szCs w:val="16"/>
              </w:rPr>
            </w:pPr>
            <w:r>
              <w:rPr>
                <w:rFonts w:ascii="Arial" w:hAnsi="Arial" w:cs="Arial"/>
                <w:bCs/>
                <w:sz w:val="16"/>
                <w:szCs w:val="16"/>
              </w:rPr>
              <w:t>25</w:t>
            </w:r>
            <w:r w:rsidR="00C41A5E" w:rsidRPr="00DB26F9">
              <w:rPr>
                <w:rFonts w:ascii="Arial" w:hAnsi="Arial" w:cs="Arial"/>
                <w:bCs/>
                <w:sz w:val="16"/>
                <w:szCs w:val="16"/>
              </w:rPr>
              <w:t>% PL FI</w:t>
            </w:r>
          </w:p>
        </w:tc>
        <w:tc>
          <w:tcPr>
            <w:tcW w:w="709"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0%</w:t>
            </w:r>
          </w:p>
        </w:tc>
        <w:tc>
          <w:tcPr>
            <w:tcW w:w="709" w:type="dxa"/>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5%</w:t>
            </w:r>
          </w:p>
        </w:tc>
      </w:tr>
      <w:tr w:rsidR="00C41A5E" w:rsidRPr="00DB26F9" w:rsidTr="00B45DFF">
        <w:tblPrEx>
          <w:tblBorders>
            <w:bottom w:val="threeDEmboss" w:sz="12" w:space="0" w:color="auto"/>
          </w:tblBorders>
        </w:tblPrEx>
        <w:tc>
          <w:tcPr>
            <w:tcW w:w="826" w:type="dxa"/>
            <w:vMerge/>
            <w:tcBorders>
              <w:top w:val="double" w:sz="4" w:space="0" w:color="auto"/>
              <w:bottom w:val="single" w:sz="4" w:space="0" w:color="auto"/>
            </w:tcBorders>
            <w:vAlign w:val="center"/>
          </w:tcPr>
          <w:p w:rsidR="00C41A5E" w:rsidRPr="00DB26F9" w:rsidRDefault="00C41A5E" w:rsidP="00DB26F9">
            <w:pPr>
              <w:jc w:val="center"/>
              <w:rPr>
                <w:rFonts w:ascii="Arial" w:hAnsi="Arial" w:cs="Arial"/>
                <w:sz w:val="16"/>
                <w:szCs w:val="16"/>
              </w:rPr>
            </w:pPr>
          </w:p>
        </w:tc>
        <w:tc>
          <w:tcPr>
            <w:tcW w:w="558" w:type="dxa"/>
            <w:vMerge/>
            <w:tcBorders>
              <w:top w:val="double" w:sz="4" w:space="0" w:color="auto"/>
              <w:bottom w:val="single" w:sz="4" w:space="0" w:color="auto"/>
            </w:tcBorders>
            <w:vAlign w:val="center"/>
          </w:tcPr>
          <w:p w:rsidR="00C41A5E" w:rsidRPr="00DB26F9" w:rsidRDefault="00C41A5E" w:rsidP="00DB26F9">
            <w:pPr>
              <w:jc w:val="center"/>
              <w:rPr>
                <w:rFonts w:ascii="Arial" w:hAnsi="Arial" w:cs="Arial"/>
                <w:sz w:val="16"/>
                <w:szCs w:val="16"/>
              </w:rPr>
            </w:pPr>
          </w:p>
        </w:tc>
        <w:tc>
          <w:tcPr>
            <w:tcW w:w="567" w:type="dxa"/>
            <w:tcBorders>
              <w:bottom w:val="single" w:sz="4" w:space="0" w:color="auto"/>
            </w:tcBorders>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V</w:t>
            </w:r>
          </w:p>
        </w:tc>
        <w:tc>
          <w:tcPr>
            <w:tcW w:w="567" w:type="dxa"/>
            <w:tcBorders>
              <w:bottom w:val="single" w:sz="4" w:space="0" w:color="auto"/>
            </w:tcBorders>
            <w:vAlign w:val="center"/>
          </w:tcPr>
          <w:p w:rsidR="00C41A5E" w:rsidRPr="00DB26F9" w:rsidRDefault="00C41A5E" w:rsidP="00DB26F9">
            <w:pPr>
              <w:jc w:val="center"/>
              <w:rPr>
                <w:rFonts w:ascii="Arial" w:hAnsi="Arial" w:cs="Arial"/>
                <w:sz w:val="16"/>
                <w:szCs w:val="16"/>
              </w:rPr>
            </w:pPr>
          </w:p>
        </w:tc>
        <w:tc>
          <w:tcPr>
            <w:tcW w:w="709" w:type="dxa"/>
            <w:tcBorders>
              <w:bottom w:val="single" w:sz="4" w:space="0" w:color="auto"/>
            </w:tcBorders>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5%</w:t>
            </w:r>
          </w:p>
        </w:tc>
        <w:tc>
          <w:tcPr>
            <w:tcW w:w="3118" w:type="dxa"/>
            <w:tcBorders>
              <w:bottom w:val="single" w:sz="4" w:space="0" w:color="auto"/>
            </w:tcBorders>
            <w:vAlign w:val="center"/>
          </w:tcPr>
          <w:p w:rsidR="00C41A5E" w:rsidRPr="00C646D6" w:rsidRDefault="00C41A5E" w:rsidP="00DB26F9">
            <w:pPr>
              <w:ind w:left="-57" w:right="-57"/>
              <w:jc w:val="both"/>
              <w:rPr>
                <w:rFonts w:ascii="Arial" w:hAnsi="Arial" w:cs="Arial"/>
                <w:bCs/>
                <w:sz w:val="14"/>
                <w:szCs w:val="14"/>
              </w:rPr>
            </w:pPr>
            <w:r w:rsidRPr="00C646D6">
              <w:rPr>
                <w:rFonts w:ascii="Arial" w:hAnsi="Arial" w:cs="Arial"/>
                <w:bCs/>
                <w:sz w:val="14"/>
                <w:szCs w:val="14"/>
              </w:rPr>
              <w:t xml:space="preserve">Cotas de fundos de investimento </w:t>
            </w:r>
            <w:r w:rsidRPr="00C646D6">
              <w:rPr>
                <w:rFonts w:ascii="Arial" w:hAnsi="Arial" w:cs="Arial"/>
                <w:sz w:val="14"/>
                <w:szCs w:val="14"/>
              </w:rPr>
              <w:t>em participações, constituídos sob a forma de condomínio fechado,</w:t>
            </w:r>
          </w:p>
        </w:tc>
        <w:tc>
          <w:tcPr>
            <w:tcW w:w="1134" w:type="dxa"/>
            <w:tcBorders>
              <w:bottom w:val="single" w:sz="4" w:space="0" w:color="auto"/>
            </w:tcBorders>
            <w:vAlign w:val="center"/>
          </w:tcPr>
          <w:p w:rsidR="00C41A5E" w:rsidRPr="00DB26F9" w:rsidRDefault="005C1DD5" w:rsidP="00DB26F9">
            <w:pPr>
              <w:ind w:left="-113" w:right="-113"/>
              <w:jc w:val="center"/>
              <w:rPr>
                <w:rFonts w:ascii="Arial" w:hAnsi="Arial" w:cs="Arial"/>
                <w:bCs/>
                <w:sz w:val="16"/>
                <w:szCs w:val="16"/>
              </w:rPr>
            </w:pPr>
            <w:r>
              <w:rPr>
                <w:rFonts w:ascii="Arial" w:hAnsi="Arial" w:cs="Arial"/>
                <w:bCs/>
                <w:sz w:val="16"/>
                <w:szCs w:val="16"/>
              </w:rPr>
              <w:t>25</w:t>
            </w:r>
            <w:r w:rsidR="00C41A5E" w:rsidRPr="00DB26F9">
              <w:rPr>
                <w:rFonts w:ascii="Arial" w:hAnsi="Arial" w:cs="Arial"/>
                <w:bCs/>
                <w:sz w:val="16"/>
                <w:szCs w:val="16"/>
              </w:rPr>
              <w:t>% PL FI</w:t>
            </w:r>
          </w:p>
        </w:tc>
        <w:tc>
          <w:tcPr>
            <w:tcW w:w="709" w:type="dxa"/>
            <w:tcBorders>
              <w:bottom w:val="single" w:sz="4" w:space="0" w:color="auto"/>
            </w:tcBorders>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0%</w:t>
            </w:r>
          </w:p>
        </w:tc>
        <w:tc>
          <w:tcPr>
            <w:tcW w:w="709" w:type="dxa"/>
            <w:tcBorders>
              <w:bottom w:val="single" w:sz="4" w:space="0" w:color="auto"/>
            </w:tcBorders>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5%</w:t>
            </w:r>
          </w:p>
        </w:tc>
      </w:tr>
      <w:tr w:rsidR="00C41A5E" w:rsidRPr="00DB26F9" w:rsidTr="00B45DFF">
        <w:tblPrEx>
          <w:tblBorders>
            <w:bottom w:val="threeDEmboss" w:sz="12" w:space="0" w:color="auto"/>
          </w:tblBorders>
        </w:tblPrEx>
        <w:tc>
          <w:tcPr>
            <w:tcW w:w="826" w:type="dxa"/>
            <w:vMerge/>
            <w:tcBorders>
              <w:top w:val="double" w:sz="4" w:space="0" w:color="auto"/>
              <w:bottom w:val="single" w:sz="4" w:space="0" w:color="auto"/>
            </w:tcBorders>
            <w:vAlign w:val="center"/>
          </w:tcPr>
          <w:p w:rsidR="00C41A5E" w:rsidRPr="00DB26F9" w:rsidRDefault="00C41A5E" w:rsidP="00DB26F9">
            <w:pPr>
              <w:jc w:val="center"/>
              <w:rPr>
                <w:rFonts w:ascii="Arial" w:hAnsi="Arial" w:cs="Arial"/>
                <w:sz w:val="16"/>
                <w:szCs w:val="16"/>
              </w:rPr>
            </w:pPr>
          </w:p>
        </w:tc>
        <w:tc>
          <w:tcPr>
            <w:tcW w:w="558" w:type="dxa"/>
            <w:vMerge/>
            <w:tcBorders>
              <w:top w:val="double" w:sz="4" w:space="0" w:color="auto"/>
              <w:bottom w:val="single" w:sz="4" w:space="0" w:color="auto"/>
            </w:tcBorders>
            <w:vAlign w:val="center"/>
          </w:tcPr>
          <w:p w:rsidR="00C41A5E" w:rsidRPr="00DB26F9" w:rsidRDefault="00C41A5E" w:rsidP="00DB26F9">
            <w:pPr>
              <w:jc w:val="center"/>
              <w:rPr>
                <w:rFonts w:ascii="Arial" w:hAnsi="Arial" w:cs="Arial"/>
                <w:sz w:val="16"/>
                <w:szCs w:val="16"/>
              </w:rPr>
            </w:pPr>
          </w:p>
        </w:tc>
        <w:tc>
          <w:tcPr>
            <w:tcW w:w="567" w:type="dxa"/>
            <w:tcBorders>
              <w:top w:val="single" w:sz="4" w:space="0" w:color="auto"/>
              <w:bottom w:val="single" w:sz="4" w:space="0" w:color="auto"/>
            </w:tcBorders>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VI</w:t>
            </w:r>
          </w:p>
        </w:tc>
        <w:tc>
          <w:tcPr>
            <w:tcW w:w="567" w:type="dxa"/>
            <w:tcBorders>
              <w:top w:val="single" w:sz="4" w:space="0" w:color="auto"/>
              <w:bottom w:val="single" w:sz="4" w:space="0" w:color="auto"/>
            </w:tcBorders>
            <w:vAlign w:val="center"/>
          </w:tcPr>
          <w:p w:rsidR="00C41A5E" w:rsidRPr="00DB26F9" w:rsidRDefault="00C41A5E" w:rsidP="00DB26F9">
            <w:pPr>
              <w:jc w:val="center"/>
              <w:rPr>
                <w:rFonts w:ascii="Arial" w:hAnsi="Arial" w:cs="Arial"/>
                <w:sz w:val="16"/>
                <w:szCs w:val="16"/>
              </w:rPr>
            </w:pPr>
          </w:p>
        </w:tc>
        <w:tc>
          <w:tcPr>
            <w:tcW w:w="709" w:type="dxa"/>
            <w:tcBorders>
              <w:top w:val="single" w:sz="4" w:space="0" w:color="auto"/>
              <w:bottom w:val="single" w:sz="4" w:space="0" w:color="auto"/>
            </w:tcBorders>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5%</w:t>
            </w:r>
          </w:p>
        </w:tc>
        <w:tc>
          <w:tcPr>
            <w:tcW w:w="3118" w:type="dxa"/>
            <w:tcBorders>
              <w:top w:val="single" w:sz="4" w:space="0" w:color="auto"/>
              <w:bottom w:val="single" w:sz="4" w:space="0" w:color="auto"/>
            </w:tcBorders>
            <w:vAlign w:val="center"/>
          </w:tcPr>
          <w:p w:rsidR="00C41A5E" w:rsidRPr="00C646D6" w:rsidRDefault="00C41A5E" w:rsidP="00DB26F9">
            <w:pPr>
              <w:ind w:left="-57" w:right="-57"/>
              <w:jc w:val="both"/>
              <w:rPr>
                <w:rFonts w:ascii="Arial" w:hAnsi="Arial" w:cs="Arial"/>
                <w:bCs/>
                <w:sz w:val="14"/>
                <w:szCs w:val="14"/>
              </w:rPr>
            </w:pPr>
            <w:r w:rsidRPr="00C646D6">
              <w:rPr>
                <w:rFonts w:ascii="Arial" w:hAnsi="Arial" w:cs="Arial"/>
                <w:bCs/>
                <w:sz w:val="14"/>
                <w:szCs w:val="14"/>
              </w:rPr>
              <w:t xml:space="preserve">Cotas de fundos de investimento </w:t>
            </w:r>
            <w:r w:rsidRPr="00C646D6">
              <w:rPr>
                <w:rFonts w:ascii="Arial" w:hAnsi="Arial" w:cs="Arial"/>
                <w:sz w:val="14"/>
                <w:szCs w:val="14"/>
              </w:rPr>
              <w:t>imobiliário, com cotas negociadas na bolsa de valores</w:t>
            </w:r>
          </w:p>
        </w:tc>
        <w:tc>
          <w:tcPr>
            <w:tcW w:w="1134" w:type="dxa"/>
            <w:tcBorders>
              <w:top w:val="single" w:sz="4" w:space="0" w:color="auto"/>
              <w:bottom w:val="single" w:sz="4" w:space="0" w:color="auto"/>
            </w:tcBorders>
            <w:vAlign w:val="center"/>
          </w:tcPr>
          <w:p w:rsidR="00C41A5E" w:rsidRPr="00DB26F9" w:rsidRDefault="005C1DD5" w:rsidP="00DB26F9">
            <w:pPr>
              <w:ind w:left="-113" w:right="-113"/>
              <w:jc w:val="center"/>
              <w:rPr>
                <w:rFonts w:ascii="Arial" w:hAnsi="Arial" w:cs="Arial"/>
                <w:bCs/>
                <w:sz w:val="16"/>
                <w:szCs w:val="16"/>
              </w:rPr>
            </w:pPr>
            <w:r>
              <w:rPr>
                <w:rFonts w:ascii="Arial" w:hAnsi="Arial" w:cs="Arial"/>
                <w:bCs/>
                <w:sz w:val="16"/>
                <w:szCs w:val="16"/>
              </w:rPr>
              <w:t>25</w:t>
            </w:r>
            <w:r w:rsidR="00C41A5E" w:rsidRPr="00DB26F9">
              <w:rPr>
                <w:rFonts w:ascii="Arial" w:hAnsi="Arial" w:cs="Arial"/>
                <w:bCs/>
                <w:sz w:val="16"/>
                <w:szCs w:val="16"/>
              </w:rPr>
              <w:t>% PL FI</w:t>
            </w:r>
          </w:p>
        </w:tc>
        <w:tc>
          <w:tcPr>
            <w:tcW w:w="709" w:type="dxa"/>
            <w:tcBorders>
              <w:top w:val="single" w:sz="4" w:space="0" w:color="auto"/>
              <w:bottom w:val="single" w:sz="4" w:space="0" w:color="auto"/>
            </w:tcBorders>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0%</w:t>
            </w:r>
          </w:p>
        </w:tc>
        <w:tc>
          <w:tcPr>
            <w:tcW w:w="709" w:type="dxa"/>
            <w:tcBorders>
              <w:top w:val="single" w:sz="4" w:space="0" w:color="auto"/>
              <w:bottom w:val="single" w:sz="4" w:space="0" w:color="auto"/>
            </w:tcBorders>
            <w:vAlign w:val="center"/>
          </w:tcPr>
          <w:p w:rsidR="00C41A5E" w:rsidRPr="00DB26F9" w:rsidRDefault="00C41A5E" w:rsidP="00DB26F9">
            <w:pPr>
              <w:jc w:val="center"/>
              <w:rPr>
                <w:rFonts w:ascii="Arial" w:hAnsi="Arial" w:cs="Arial"/>
                <w:sz w:val="16"/>
                <w:szCs w:val="16"/>
              </w:rPr>
            </w:pPr>
            <w:r w:rsidRPr="00DB26F9">
              <w:rPr>
                <w:rFonts w:ascii="Arial" w:hAnsi="Arial" w:cs="Arial"/>
                <w:sz w:val="16"/>
                <w:szCs w:val="16"/>
              </w:rPr>
              <w:t>5%</w:t>
            </w:r>
          </w:p>
        </w:tc>
      </w:tr>
      <w:tr w:rsidR="00C41A5E" w:rsidRPr="00DB26F9" w:rsidTr="00B45DFF">
        <w:tblPrEx>
          <w:tblBorders>
            <w:bottom w:val="threeDEmboss" w:sz="12" w:space="0" w:color="auto"/>
          </w:tblBorders>
        </w:tblPrEx>
        <w:tc>
          <w:tcPr>
            <w:tcW w:w="826" w:type="dxa"/>
            <w:tcBorders>
              <w:top w:val="single" w:sz="4" w:space="0" w:color="auto"/>
            </w:tcBorders>
            <w:vAlign w:val="center"/>
          </w:tcPr>
          <w:p w:rsidR="00C41A5E" w:rsidRPr="00DB26F9" w:rsidRDefault="00C41A5E" w:rsidP="00DB26F9">
            <w:pPr>
              <w:ind w:left="-57" w:right="-57"/>
              <w:jc w:val="center"/>
              <w:rPr>
                <w:rFonts w:ascii="Arial" w:hAnsi="Arial" w:cs="Arial"/>
                <w:sz w:val="16"/>
                <w:szCs w:val="16"/>
              </w:rPr>
            </w:pPr>
            <w:r w:rsidRPr="00DB26F9">
              <w:rPr>
                <w:rFonts w:ascii="Arial" w:hAnsi="Arial" w:cs="Arial"/>
                <w:sz w:val="16"/>
                <w:szCs w:val="16"/>
              </w:rPr>
              <w:t>IMÓVEIS</w:t>
            </w:r>
          </w:p>
        </w:tc>
        <w:tc>
          <w:tcPr>
            <w:tcW w:w="558" w:type="dxa"/>
            <w:tcBorders>
              <w:top w:val="single" w:sz="4" w:space="0" w:color="auto"/>
            </w:tcBorders>
            <w:vAlign w:val="center"/>
          </w:tcPr>
          <w:p w:rsidR="00C41A5E" w:rsidRPr="00DB26F9" w:rsidRDefault="00D373DA" w:rsidP="00DB26F9">
            <w:pPr>
              <w:jc w:val="center"/>
              <w:rPr>
                <w:rFonts w:ascii="Arial" w:hAnsi="Arial" w:cs="Arial"/>
                <w:sz w:val="16"/>
                <w:szCs w:val="16"/>
              </w:rPr>
            </w:pPr>
            <w:r>
              <w:rPr>
                <w:rFonts w:ascii="Arial" w:hAnsi="Arial" w:cs="Arial"/>
                <w:sz w:val="16"/>
                <w:szCs w:val="16"/>
              </w:rPr>
              <w:t>9</w:t>
            </w:r>
            <w:r w:rsidR="00C41A5E" w:rsidRPr="00DB26F9">
              <w:rPr>
                <w:rFonts w:ascii="Arial" w:hAnsi="Arial" w:cs="Arial"/>
                <w:sz w:val="16"/>
                <w:szCs w:val="16"/>
              </w:rPr>
              <w:t>º</w:t>
            </w:r>
          </w:p>
        </w:tc>
        <w:tc>
          <w:tcPr>
            <w:tcW w:w="567" w:type="dxa"/>
            <w:tcBorders>
              <w:top w:val="single" w:sz="4" w:space="0" w:color="auto"/>
            </w:tcBorders>
            <w:vAlign w:val="center"/>
          </w:tcPr>
          <w:p w:rsidR="00C41A5E" w:rsidRPr="00DB26F9" w:rsidRDefault="00C41A5E" w:rsidP="00DB26F9">
            <w:pPr>
              <w:jc w:val="center"/>
              <w:rPr>
                <w:rFonts w:ascii="Arial" w:hAnsi="Arial" w:cs="Arial"/>
                <w:sz w:val="16"/>
                <w:szCs w:val="16"/>
              </w:rPr>
            </w:pPr>
          </w:p>
        </w:tc>
        <w:tc>
          <w:tcPr>
            <w:tcW w:w="567" w:type="dxa"/>
            <w:tcBorders>
              <w:top w:val="single" w:sz="4" w:space="0" w:color="auto"/>
            </w:tcBorders>
            <w:vAlign w:val="center"/>
          </w:tcPr>
          <w:p w:rsidR="00C41A5E" w:rsidRPr="00DB26F9" w:rsidRDefault="00C41A5E" w:rsidP="00DB26F9">
            <w:pPr>
              <w:jc w:val="center"/>
              <w:rPr>
                <w:rFonts w:ascii="Arial" w:hAnsi="Arial" w:cs="Arial"/>
                <w:sz w:val="16"/>
                <w:szCs w:val="16"/>
              </w:rPr>
            </w:pPr>
          </w:p>
        </w:tc>
        <w:tc>
          <w:tcPr>
            <w:tcW w:w="709" w:type="dxa"/>
            <w:tcBorders>
              <w:top w:val="single" w:sz="4" w:space="0" w:color="auto"/>
            </w:tcBorders>
            <w:vAlign w:val="center"/>
          </w:tcPr>
          <w:p w:rsidR="00C41A5E" w:rsidRPr="00DB26F9" w:rsidRDefault="00C41A5E" w:rsidP="00DB26F9">
            <w:pPr>
              <w:jc w:val="center"/>
              <w:rPr>
                <w:rFonts w:ascii="Arial" w:hAnsi="Arial" w:cs="Arial"/>
                <w:sz w:val="16"/>
                <w:szCs w:val="16"/>
              </w:rPr>
            </w:pPr>
          </w:p>
        </w:tc>
        <w:tc>
          <w:tcPr>
            <w:tcW w:w="3118" w:type="dxa"/>
            <w:tcBorders>
              <w:top w:val="single" w:sz="4" w:space="0" w:color="auto"/>
            </w:tcBorders>
            <w:vAlign w:val="center"/>
          </w:tcPr>
          <w:p w:rsidR="00C41A5E" w:rsidRPr="00C646D6" w:rsidRDefault="00C41A5E" w:rsidP="00DB26F9">
            <w:pPr>
              <w:ind w:left="-57" w:right="-57"/>
              <w:jc w:val="both"/>
              <w:rPr>
                <w:rFonts w:ascii="Arial" w:hAnsi="Arial" w:cs="Arial"/>
                <w:bCs/>
                <w:sz w:val="14"/>
                <w:szCs w:val="14"/>
              </w:rPr>
            </w:pPr>
            <w:r w:rsidRPr="00C646D6">
              <w:rPr>
                <w:rFonts w:ascii="Arial" w:hAnsi="Arial" w:cs="Arial"/>
                <w:bCs/>
                <w:sz w:val="14"/>
                <w:szCs w:val="14"/>
              </w:rPr>
              <w:t>Exclusivamente com os imóveis vinculados por lei ao RPPS</w:t>
            </w:r>
          </w:p>
        </w:tc>
        <w:tc>
          <w:tcPr>
            <w:tcW w:w="1134" w:type="dxa"/>
            <w:tcBorders>
              <w:top w:val="single" w:sz="4" w:space="0" w:color="auto"/>
            </w:tcBorders>
            <w:vAlign w:val="center"/>
          </w:tcPr>
          <w:p w:rsidR="00C41A5E" w:rsidRPr="00DB26F9" w:rsidRDefault="008761E3" w:rsidP="00DB26F9">
            <w:pPr>
              <w:ind w:left="-57" w:right="-57"/>
              <w:jc w:val="center"/>
              <w:rPr>
                <w:rFonts w:ascii="Arial" w:hAnsi="Arial" w:cs="Arial"/>
                <w:bCs/>
                <w:sz w:val="16"/>
                <w:szCs w:val="16"/>
              </w:rPr>
            </w:pPr>
            <w:r>
              <w:rPr>
                <w:rFonts w:ascii="Arial" w:hAnsi="Arial" w:cs="Arial"/>
                <w:bCs/>
                <w:sz w:val="16"/>
                <w:szCs w:val="16"/>
              </w:rPr>
              <w:t>-</w:t>
            </w:r>
          </w:p>
        </w:tc>
        <w:tc>
          <w:tcPr>
            <w:tcW w:w="709" w:type="dxa"/>
            <w:tcBorders>
              <w:top w:val="single" w:sz="4" w:space="0" w:color="auto"/>
            </w:tcBorders>
            <w:vAlign w:val="center"/>
          </w:tcPr>
          <w:p w:rsidR="00C41A5E" w:rsidRPr="00CF76F9" w:rsidRDefault="0053196D" w:rsidP="00DB26F9">
            <w:pPr>
              <w:jc w:val="center"/>
              <w:rPr>
                <w:rFonts w:ascii="Arial" w:hAnsi="Arial" w:cs="Arial"/>
                <w:color w:val="000000"/>
                <w:sz w:val="16"/>
                <w:szCs w:val="16"/>
              </w:rPr>
            </w:pPr>
            <w:r w:rsidRPr="00CF76F9">
              <w:rPr>
                <w:rFonts w:ascii="Arial" w:hAnsi="Arial" w:cs="Arial"/>
                <w:color w:val="000000"/>
                <w:sz w:val="16"/>
                <w:szCs w:val="16"/>
              </w:rPr>
              <w:t>0%</w:t>
            </w:r>
          </w:p>
        </w:tc>
        <w:tc>
          <w:tcPr>
            <w:tcW w:w="709" w:type="dxa"/>
            <w:tcBorders>
              <w:top w:val="single" w:sz="4" w:space="0" w:color="auto"/>
            </w:tcBorders>
            <w:vAlign w:val="center"/>
          </w:tcPr>
          <w:p w:rsidR="00C41A5E" w:rsidRPr="00CF76F9" w:rsidRDefault="0053196D" w:rsidP="00DB26F9">
            <w:pPr>
              <w:jc w:val="center"/>
              <w:rPr>
                <w:rFonts w:ascii="Arial" w:hAnsi="Arial" w:cs="Arial"/>
                <w:color w:val="000000"/>
                <w:sz w:val="16"/>
                <w:szCs w:val="16"/>
              </w:rPr>
            </w:pPr>
            <w:r w:rsidRPr="00CF76F9">
              <w:rPr>
                <w:rFonts w:ascii="Arial" w:hAnsi="Arial" w:cs="Arial"/>
                <w:color w:val="000000"/>
                <w:sz w:val="16"/>
                <w:szCs w:val="16"/>
              </w:rPr>
              <w:t>0%</w:t>
            </w:r>
          </w:p>
        </w:tc>
      </w:tr>
    </w:tbl>
    <w:p w:rsidR="00C41A5E" w:rsidRDefault="00C41A5E" w:rsidP="00C41A5E">
      <w:pPr>
        <w:jc w:val="both"/>
        <w:rPr>
          <w:rFonts w:ascii="Arial" w:hAnsi="Arial" w:cs="Arial"/>
          <w:sz w:val="20"/>
          <w:szCs w:val="20"/>
        </w:rPr>
      </w:pPr>
    </w:p>
    <w:p w:rsidR="00891217" w:rsidRDefault="00891217" w:rsidP="00C41A5E">
      <w:pPr>
        <w:jc w:val="both"/>
        <w:rPr>
          <w:rFonts w:ascii="Arial" w:hAnsi="Arial" w:cs="Arial"/>
          <w:sz w:val="20"/>
          <w:szCs w:val="20"/>
        </w:rPr>
      </w:pPr>
    </w:p>
    <w:p w:rsidR="00891217" w:rsidRDefault="00891217" w:rsidP="00C41A5E">
      <w:pPr>
        <w:jc w:val="both"/>
        <w:rPr>
          <w:rFonts w:ascii="Arial" w:hAnsi="Arial" w:cs="Arial"/>
          <w:sz w:val="20"/>
          <w:szCs w:val="20"/>
        </w:rPr>
      </w:pPr>
    </w:p>
    <w:p w:rsidR="00891217" w:rsidRDefault="00891217" w:rsidP="00C41A5E">
      <w:pPr>
        <w:jc w:val="both"/>
        <w:rPr>
          <w:rFonts w:ascii="Arial" w:hAnsi="Arial" w:cs="Arial"/>
          <w:sz w:val="20"/>
          <w:szCs w:val="20"/>
        </w:rPr>
      </w:pPr>
    </w:p>
    <w:tbl>
      <w:tblPr>
        <w:tblW w:w="8897"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ook w:val="01E0" w:firstRow="1" w:lastRow="1" w:firstColumn="1" w:lastColumn="1" w:noHBand="0" w:noVBand="0"/>
      </w:tblPr>
      <w:tblGrid>
        <w:gridCol w:w="3228"/>
        <w:gridCol w:w="3000"/>
        <w:gridCol w:w="2669"/>
      </w:tblGrid>
      <w:tr w:rsidR="00647F14" w:rsidRPr="00DB26F9" w:rsidTr="00891217">
        <w:trPr>
          <w:trHeight w:val="221"/>
        </w:trPr>
        <w:tc>
          <w:tcPr>
            <w:tcW w:w="3228" w:type="dxa"/>
            <w:tcBorders>
              <w:top w:val="threeDEmboss" w:sz="12" w:space="0" w:color="auto"/>
              <w:bottom w:val="single" w:sz="4" w:space="0" w:color="auto"/>
            </w:tcBorders>
            <w:shd w:val="clear" w:color="auto" w:fill="D6E3BC"/>
            <w:vAlign w:val="center"/>
          </w:tcPr>
          <w:p w:rsidR="00647F14" w:rsidRPr="00DB26F9" w:rsidRDefault="00647F14" w:rsidP="00DB26F9">
            <w:pPr>
              <w:jc w:val="center"/>
              <w:rPr>
                <w:rFonts w:ascii="Arial" w:hAnsi="Arial" w:cs="Arial"/>
                <w:b/>
                <w:sz w:val="16"/>
                <w:szCs w:val="16"/>
              </w:rPr>
            </w:pPr>
            <w:r w:rsidRPr="00DB26F9">
              <w:rPr>
                <w:rFonts w:ascii="Arial" w:hAnsi="Arial" w:cs="Arial"/>
                <w:b/>
                <w:sz w:val="16"/>
                <w:szCs w:val="16"/>
              </w:rPr>
              <w:t>Segmento de Aplicação</w:t>
            </w:r>
          </w:p>
        </w:tc>
        <w:tc>
          <w:tcPr>
            <w:tcW w:w="3000" w:type="dxa"/>
            <w:tcBorders>
              <w:top w:val="threeDEmboss" w:sz="12" w:space="0" w:color="auto"/>
              <w:bottom w:val="single" w:sz="4" w:space="0" w:color="auto"/>
            </w:tcBorders>
            <w:shd w:val="clear" w:color="auto" w:fill="D6E3BC"/>
            <w:vAlign w:val="center"/>
          </w:tcPr>
          <w:p w:rsidR="00647F14" w:rsidRPr="00DB26F9" w:rsidRDefault="006E16D4" w:rsidP="00DB26F9">
            <w:pPr>
              <w:jc w:val="center"/>
              <w:rPr>
                <w:rFonts w:ascii="Arial" w:hAnsi="Arial" w:cs="Arial"/>
                <w:b/>
                <w:sz w:val="16"/>
                <w:szCs w:val="16"/>
              </w:rPr>
            </w:pPr>
            <w:r>
              <w:rPr>
                <w:rFonts w:ascii="Arial" w:hAnsi="Arial" w:cs="Arial"/>
                <w:b/>
                <w:sz w:val="16"/>
                <w:szCs w:val="16"/>
              </w:rPr>
              <w:t>Limite da Política de Investimentos da AMPREV</w:t>
            </w:r>
          </w:p>
        </w:tc>
        <w:tc>
          <w:tcPr>
            <w:tcW w:w="2669" w:type="dxa"/>
            <w:tcBorders>
              <w:top w:val="threeDEmboss" w:sz="12" w:space="0" w:color="auto"/>
              <w:bottom w:val="single" w:sz="4" w:space="0" w:color="auto"/>
            </w:tcBorders>
            <w:shd w:val="clear" w:color="auto" w:fill="D6E3BC"/>
            <w:vAlign w:val="center"/>
          </w:tcPr>
          <w:p w:rsidR="00647F14" w:rsidRDefault="00647F14" w:rsidP="00DB26F9">
            <w:pPr>
              <w:jc w:val="center"/>
              <w:rPr>
                <w:rFonts w:ascii="Arial" w:hAnsi="Arial" w:cs="Arial"/>
                <w:b/>
                <w:sz w:val="16"/>
                <w:szCs w:val="16"/>
              </w:rPr>
            </w:pPr>
            <w:r w:rsidRPr="00DB26F9">
              <w:rPr>
                <w:rFonts w:ascii="Arial" w:hAnsi="Arial" w:cs="Arial"/>
                <w:b/>
                <w:sz w:val="16"/>
                <w:szCs w:val="16"/>
              </w:rPr>
              <w:t xml:space="preserve">Limite </w:t>
            </w:r>
            <w:r w:rsidR="006E16D4">
              <w:rPr>
                <w:rFonts w:ascii="Arial" w:hAnsi="Arial" w:cs="Arial"/>
                <w:b/>
                <w:sz w:val="16"/>
                <w:szCs w:val="16"/>
              </w:rPr>
              <w:t>Legal</w:t>
            </w:r>
          </w:p>
          <w:p w:rsidR="006E16D4" w:rsidRPr="00DB26F9" w:rsidRDefault="006E16D4" w:rsidP="00DB26F9">
            <w:pPr>
              <w:jc w:val="center"/>
              <w:rPr>
                <w:rFonts w:ascii="Arial" w:hAnsi="Arial" w:cs="Arial"/>
                <w:b/>
                <w:sz w:val="16"/>
                <w:szCs w:val="16"/>
              </w:rPr>
            </w:pPr>
            <w:r>
              <w:rPr>
                <w:rFonts w:ascii="Arial" w:hAnsi="Arial" w:cs="Arial"/>
                <w:b/>
                <w:sz w:val="16"/>
                <w:szCs w:val="16"/>
              </w:rPr>
              <w:t>(Resolução 3.922/2010-CMN)</w:t>
            </w:r>
          </w:p>
        </w:tc>
      </w:tr>
      <w:tr w:rsidR="00647F14" w:rsidRPr="00DB26F9" w:rsidTr="00891217">
        <w:trPr>
          <w:trHeight w:val="234"/>
        </w:trPr>
        <w:tc>
          <w:tcPr>
            <w:tcW w:w="3228" w:type="dxa"/>
            <w:tcBorders>
              <w:top w:val="single" w:sz="4" w:space="0" w:color="auto"/>
            </w:tcBorders>
            <w:vAlign w:val="center"/>
          </w:tcPr>
          <w:p w:rsidR="00647F14" w:rsidRPr="00DB26F9" w:rsidRDefault="00647F14" w:rsidP="00DB26F9">
            <w:pPr>
              <w:jc w:val="center"/>
              <w:rPr>
                <w:rFonts w:ascii="Arial" w:hAnsi="Arial" w:cs="Arial"/>
                <w:sz w:val="16"/>
                <w:szCs w:val="16"/>
              </w:rPr>
            </w:pPr>
            <w:r w:rsidRPr="00DB26F9">
              <w:rPr>
                <w:rFonts w:ascii="Arial" w:hAnsi="Arial" w:cs="Arial"/>
                <w:sz w:val="16"/>
                <w:szCs w:val="16"/>
              </w:rPr>
              <w:t>RENDA FIXA</w:t>
            </w:r>
          </w:p>
        </w:tc>
        <w:tc>
          <w:tcPr>
            <w:tcW w:w="3000" w:type="dxa"/>
            <w:tcBorders>
              <w:top w:val="single" w:sz="4" w:space="0" w:color="auto"/>
            </w:tcBorders>
            <w:vAlign w:val="center"/>
          </w:tcPr>
          <w:p w:rsidR="00647F14" w:rsidRPr="00891217" w:rsidRDefault="006E16D4" w:rsidP="00891217">
            <w:pPr>
              <w:jc w:val="center"/>
              <w:rPr>
                <w:rFonts w:ascii="Arial" w:hAnsi="Arial" w:cs="Arial"/>
                <w:sz w:val="16"/>
                <w:szCs w:val="16"/>
              </w:rPr>
            </w:pPr>
            <w:r>
              <w:rPr>
                <w:rFonts w:ascii="Arial" w:hAnsi="Arial" w:cs="Arial"/>
                <w:sz w:val="16"/>
                <w:szCs w:val="16"/>
              </w:rPr>
              <w:t>10</w:t>
            </w:r>
            <w:r w:rsidR="00B64BA8" w:rsidRPr="00891217">
              <w:rPr>
                <w:rFonts w:ascii="Arial" w:hAnsi="Arial" w:cs="Arial"/>
                <w:sz w:val="16"/>
                <w:szCs w:val="16"/>
              </w:rPr>
              <w:t>0%</w:t>
            </w:r>
          </w:p>
        </w:tc>
        <w:tc>
          <w:tcPr>
            <w:tcW w:w="2669" w:type="dxa"/>
            <w:tcBorders>
              <w:top w:val="single" w:sz="4" w:space="0" w:color="auto"/>
            </w:tcBorders>
            <w:vAlign w:val="center"/>
          </w:tcPr>
          <w:p w:rsidR="00647F14" w:rsidRPr="00DB26F9" w:rsidRDefault="00647F14" w:rsidP="00DB26F9">
            <w:pPr>
              <w:jc w:val="center"/>
              <w:rPr>
                <w:rFonts w:ascii="Arial" w:hAnsi="Arial" w:cs="Arial"/>
                <w:sz w:val="16"/>
                <w:szCs w:val="16"/>
              </w:rPr>
            </w:pPr>
            <w:r w:rsidRPr="00DB26F9">
              <w:rPr>
                <w:rFonts w:ascii="Arial" w:hAnsi="Arial" w:cs="Arial"/>
                <w:sz w:val="16"/>
                <w:szCs w:val="16"/>
              </w:rPr>
              <w:t>100%</w:t>
            </w:r>
          </w:p>
        </w:tc>
      </w:tr>
      <w:tr w:rsidR="00647F14" w:rsidRPr="00DB26F9" w:rsidTr="00891217">
        <w:trPr>
          <w:trHeight w:val="254"/>
        </w:trPr>
        <w:tc>
          <w:tcPr>
            <w:tcW w:w="3228" w:type="dxa"/>
            <w:vAlign w:val="center"/>
          </w:tcPr>
          <w:p w:rsidR="00647F14" w:rsidRPr="00DB26F9" w:rsidRDefault="00647F14" w:rsidP="00DB26F9">
            <w:pPr>
              <w:jc w:val="center"/>
              <w:rPr>
                <w:rFonts w:ascii="Arial" w:hAnsi="Arial" w:cs="Arial"/>
                <w:sz w:val="16"/>
                <w:szCs w:val="16"/>
              </w:rPr>
            </w:pPr>
            <w:r w:rsidRPr="00DB26F9">
              <w:rPr>
                <w:rFonts w:ascii="Arial" w:hAnsi="Arial" w:cs="Arial"/>
                <w:sz w:val="16"/>
                <w:szCs w:val="16"/>
              </w:rPr>
              <w:t>RENDA VARIÁVEL</w:t>
            </w:r>
          </w:p>
        </w:tc>
        <w:tc>
          <w:tcPr>
            <w:tcW w:w="3000" w:type="dxa"/>
            <w:vAlign w:val="center"/>
          </w:tcPr>
          <w:p w:rsidR="00647F14" w:rsidRPr="00891217" w:rsidRDefault="00B64BA8" w:rsidP="00891217">
            <w:pPr>
              <w:jc w:val="center"/>
              <w:rPr>
                <w:rFonts w:ascii="Arial" w:hAnsi="Arial" w:cs="Arial"/>
                <w:sz w:val="16"/>
                <w:szCs w:val="16"/>
              </w:rPr>
            </w:pPr>
            <w:r w:rsidRPr="00891217">
              <w:rPr>
                <w:rFonts w:ascii="Arial" w:hAnsi="Arial" w:cs="Arial"/>
                <w:sz w:val="16"/>
                <w:szCs w:val="16"/>
              </w:rPr>
              <w:t>20%</w:t>
            </w:r>
          </w:p>
        </w:tc>
        <w:tc>
          <w:tcPr>
            <w:tcW w:w="2669" w:type="dxa"/>
            <w:vAlign w:val="center"/>
          </w:tcPr>
          <w:p w:rsidR="00647F14" w:rsidRPr="00DB26F9" w:rsidRDefault="00255B6E" w:rsidP="00DB26F9">
            <w:pPr>
              <w:jc w:val="center"/>
              <w:rPr>
                <w:rFonts w:ascii="Arial" w:hAnsi="Arial" w:cs="Arial"/>
                <w:sz w:val="16"/>
                <w:szCs w:val="16"/>
              </w:rPr>
            </w:pPr>
            <w:r w:rsidRPr="00DB26F9">
              <w:rPr>
                <w:rFonts w:ascii="Arial" w:hAnsi="Arial" w:cs="Arial"/>
                <w:sz w:val="16"/>
                <w:szCs w:val="16"/>
              </w:rPr>
              <w:t>30</w:t>
            </w:r>
            <w:r w:rsidR="00647F14" w:rsidRPr="00DB26F9">
              <w:rPr>
                <w:rFonts w:ascii="Arial" w:hAnsi="Arial" w:cs="Arial"/>
                <w:sz w:val="16"/>
                <w:szCs w:val="16"/>
              </w:rPr>
              <w:t>%</w:t>
            </w:r>
          </w:p>
        </w:tc>
      </w:tr>
      <w:tr w:rsidR="00647F14" w:rsidRPr="00DB26F9" w:rsidTr="00891217">
        <w:trPr>
          <w:trHeight w:val="275"/>
        </w:trPr>
        <w:tc>
          <w:tcPr>
            <w:tcW w:w="3228" w:type="dxa"/>
            <w:vAlign w:val="center"/>
          </w:tcPr>
          <w:p w:rsidR="00647F14" w:rsidRPr="00DB26F9" w:rsidRDefault="00647F14" w:rsidP="00DB26F9">
            <w:pPr>
              <w:jc w:val="center"/>
              <w:rPr>
                <w:rFonts w:ascii="Arial" w:hAnsi="Arial" w:cs="Arial"/>
                <w:sz w:val="16"/>
                <w:szCs w:val="16"/>
              </w:rPr>
            </w:pPr>
            <w:r w:rsidRPr="00DB26F9">
              <w:rPr>
                <w:rFonts w:ascii="Arial" w:hAnsi="Arial" w:cs="Arial"/>
                <w:sz w:val="16"/>
                <w:szCs w:val="16"/>
              </w:rPr>
              <w:t>IMÓVEIS</w:t>
            </w:r>
          </w:p>
        </w:tc>
        <w:tc>
          <w:tcPr>
            <w:tcW w:w="3000" w:type="dxa"/>
            <w:vAlign w:val="center"/>
          </w:tcPr>
          <w:p w:rsidR="00647F14" w:rsidRPr="00891217" w:rsidRDefault="00647F14" w:rsidP="00DB26F9">
            <w:pPr>
              <w:jc w:val="center"/>
              <w:rPr>
                <w:rFonts w:ascii="Arial" w:hAnsi="Arial" w:cs="Arial"/>
                <w:sz w:val="16"/>
                <w:szCs w:val="16"/>
              </w:rPr>
            </w:pPr>
            <w:r w:rsidRPr="00891217">
              <w:rPr>
                <w:rFonts w:ascii="Arial" w:hAnsi="Arial" w:cs="Arial"/>
                <w:sz w:val="16"/>
                <w:szCs w:val="16"/>
              </w:rPr>
              <w:t>0%</w:t>
            </w:r>
          </w:p>
        </w:tc>
        <w:tc>
          <w:tcPr>
            <w:tcW w:w="2669" w:type="dxa"/>
            <w:vAlign w:val="center"/>
          </w:tcPr>
          <w:p w:rsidR="00647F14" w:rsidRPr="00DB26F9" w:rsidRDefault="00647F14" w:rsidP="00DB26F9">
            <w:pPr>
              <w:jc w:val="center"/>
              <w:rPr>
                <w:rFonts w:ascii="Arial" w:hAnsi="Arial" w:cs="Arial"/>
                <w:sz w:val="16"/>
                <w:szCs w:val="16"/>
              </w:rPr>
            </w:pPr>
            <w:r w:rsidRPr="00DB26F9">
              <w:rPr>
                <w:rFonts w:ascii="Arial" w:hAnsi="Arial" w:cs="Arial"/>
                <w:sz w:val="16"/>
                <w:szCs w:val="16"/>
              </w:rPr>
              <w:t>0%</w:t>
            </w:r>
          </w:p>
        </w:tc>
      </w:tr>
    </w:tbl>
    <w:p w:rsidR="00202AC0" w:rsidRPr="001C53EF" w:rsidRDefault="00202AC0" w:rsidP="00202AC0">
      <w:pPr>
        <w:numPr>
          <w:ilvl w:val="1"/>
          <w:numId w:val="46"/>
        </w:numPr>
        <w:autoSpaceDE w:val="0"/>
        <w:autoSpaceDN w:val="0"/>
        <w:adjustRightInd w:val="0"/>
        <w:spacing w:before="360" w:after="120"/>
        <w:rPr>
          <w:rFonts w:ascii="Arial" w:hAnsi="Arial" w:cs="Arial"/>
          <w:b/>
          <w:bCs/>
          <w:smallCaps/>
          <w:sz w:val="20"/>
          <w:szCs w:val="20"/>
        </w:rPr>
      </w:pPr>
      <w:r w:rsidRPr="001C53EF">
        <w:rPr>
          <w:rFonts w:ascii="Arial" w:hAnsi="Arial" w:cs="Arial"/>
          <w:b/>
          <w:bCs/>
          <w:smallCaps/>
          <w:sz w:val="20"/>
          <w:szCs w:val="20"/>
        </w:rPr>
        <w:t>VEDAÇÕES</w:t>
      </w:r>
    </w:p>
    <w:p w:rsidR="00BB2234" w:rsidRDefault="00202AC0" w:rsidP="00202AC0">
      <w:pPr>
        <w:spacing w:line="312" w:lineRule="auto"/>
        <w:ind w:firstLine="1418"/>
        <w:jc w:val="both"/>
        <w:rPr>
          <w:rFonts w:ascii="Arial" w:hAnsi="Arial" w:cs="Arial"/>
          <w:sz w:val="20"/>
          <w:szCs w:val="20"/>
        </w:rPr>
      </w:pPr>
      <w:r w:rsidRPr="001C53EF">
        <w:rPr>
          <w:rFonts w:ascii="Arial" w:hAnsi="Arial" w:cs="Arial"/>
          <w:b/>
          <w:sz w:val="20"/>
          <w:szCs w:val="20"/>
        </w:rPr>
        <w:t>4.6.1</w:t>
      </w:r>
      <w:r>
        <w:rPr>
          <w:rFonts w:ascii="Arial" w:hAnsi="Arial" w:cs="Arial"/>
          <w:sz w:val="20"/>
          <w:szCs w:val="20"/>
        </w:rPr>
        <w:t xml:space="preserve">. </w:t>
      </w:r>
      <w:r w:rsidR="0021548F">
        <w:rPr>
          <w:rFonts w:ascii="Arial" w:hAnsi="Arial" w:cs="Arial"/>
          <w:sz w:val="20"/>
          <w:szCs w:val="20"/>
        </w:rPr>
        <w:t>A</w:t>
      </w:r>
      <w:r w:rsidR="0021548F" w:rsidRPr="00085BC9">
        <w:rPr>
          <w:rFonts w:ascii="Arial" w:hAnsi="Arial" w:cs="Arial"/>
          <w:sz w:val="20"/>
          <w:szCs w:val="20"/>
        </w:rPr>
        <w:t>plicar recursos na aquisição de cotas de fundo de investimento</w:t>
      </w:r>
      <w:r w:rsidR="003B1AA1">
        <w:rPr>
          <w:rFonts w:ascii="Arial" w:hAnsi="Arial" w:cs="Arial"/>
          <w:sz w:val="20"/>
          <w:szCs w:val="20"/>
        </w:rPr>
        <w:t>,</w:t>
      </w:r>
      <w:r w:rsidR="0021548F" w:rsidRPr="00085BC9">
        <w:rPr>
          <w:rFonts w:ascii="Arial" w:hAnsi="Arial" w:cs="Arial"/>
          <w:sz w:val="20"/>
          <w:szCs w:val="20"/>
        </w:rPr>
        <w:t xml:space="preserve"> cuja atuação em</w:t>
      </w:r>
      <w:r w:rsidR="00895FF5">
        <w:rPr>
          <w:rFonts w:ascii="Arial" w:hAnsi="Arial" w:cs="Arial"/>
          <w:sz w:val="20"/>
          <w:szCs w:val="20"/>
        </w:rPr>
        <w:t xml:space="preserve"> </w:t>
      </w:r>
      <w:r w:rsidR="0021548F" w:rsidRPr="00085BC9">
        <w:rPr>
          <w:rFonts w:ascii="Arial" w:hAnsi="Arial" w:cs="Arial"/>
          <w:sz w:val="20"/>
          <w:szCs w:val="20"/>
        </w:rPr>
        <w:t>mercados de derivativos gere exposição superior a uma vez o respectivo patrimônio</w:t>
      </w:r>
      <w:r w:rsidR="00895FF5">
        <w:rPr>
          <w:rFonts w:ascii="Arial" w:hAnsi="Arial" w:cs="Arial"/>
          <w:sz w:val="20"/>
          <w:szCs w:val="20"/>
        </w:rPr>
        <w:t xml:space="preserve"> </w:t>
      </w:r>
      <w:r w:rsidR="0021548F" w:rsidRPr="00085BC9">
        <w:rPr>
          <w:rFonts w:ascii="Arial" w:hAnsi="Arial" w:cs="Arial"/>
          <w:sz w:val="20"/>
          <w:szCs w:val="20"/>
        </w:rPr>
        <w:t>líquido;</w:t>
      </w:r>
    </w:p>
    <w:p w:rsidR="0021548F" w:rsidRPr="00CF0E68" w:rsidRDefault="00202AC0" w:rsidP="00202AC0">
      <w:pPr>
        <w:spacing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C53EF">
        <w:rPr>
          <w:rFonts w:ascii="Arial" w:hAnsi="Arial" w:cs="Arial"/>
          <w:b/>
          <w:sz w:val="20"/>
          <w:szCs w:val="20"/>
        </w:rPr>
        <w:t>4.6.2.</w:t>
      </w:r>
      <w:r w:rsidR="00D8775D">
        <w:rPr>
          <w:rFonts w:ascii="Arial" w:hAnsi="Arial" w:cs="Arial"/>
          <w:b/>
          <w:sz w:val="20"/>
          <w:szCs w:val="20"/>
        </w:rPr>
        <w:t xml:space="preserve"> </w:t>
      </w:r>
      <w:r w:rsidR="0021548F">
        <w:rPr>
          <w:rFonts w:ascii="Arial" w:hAnsi="Arial" w:cs="Arial"/>
          <w:sz w:val="20"/>
          <w:szCs w:val="20"/>
        </w:rPr>
        <w:t>A</w:t>
      </w:r>
      <w:r w:rsidR="0021548F" w:rsidRPr="00085BC9">
        <w:rPr>
          <w:rFonts w:ascii="Arial" w:hAnsi="Arial" w:cs="Arial"/>
          <w:sz w:val="20"/>
          <w:szCs w:val="20"/>
        </w:rPr>
        <w:t>plicar recursos na aquisição de cotas de fundo de investimento</w:t>
      </w:r>
      <w:r w:rsidR="003B1AA1">
        <w:rPr>
          <w:rFonts w:ascii="Arial" w:hAnsi="Arial" w:cs="Arial"/>
          <w:sz w:val="20"/>
          <w:szCs w:val="20"/>
        </w:rPr>
        <w:t>,</w:t>
      </w:r>
      <w:r w:rsidR="0021548F" w:rsidRPr="00085BC9">
        <w:rPr>
          <w:rFonts w:ascii="Arial" w:hAnsi="Arial" w:cs="Arial"/>
          <w:sz w:val="20"/>
          <w:szCs w:val="20"/>
        </w:rPr>
        <w:t xml:space="preserve"> cujas carteiras</w:t>
      </w:r>
      <w:r w:rsidR="00895FF5">
        <w:rPr>
          <w:rFonts w:ascii="Arial" w:hAnsi="Arial" w:cs="Arial"/>
          <w:sz w:val="20"/>
          <w:szCs w:val="20"/>
        </w:rPr>
        <w:t xml:space="preserve"> </w:t>
      </w:r>
      <w:r w:rsidR="0021548F" w:rsidRPr="00085BC9">
        <w:rPr>
          <w:rFonts w:ascii="Arial" w:hAnsi="Arial" w:cs="Arial"/>
          <w:sz w:val="20"/>
          <w:szCs w:val="20"/>
        </w:rPr>
        <w:t>contenham títulos</w:t>
      </w:r>
      <w:r w:rsidR="003B1AA1">
        <w:rPr>
          <w:rFonts w:ascii="Arial" w:hAnsi="Arial" w:cs="Arial"/>
          <w:sz w:val="20"/>
          <w:szCs w:val="20"/>
        </w:rPr>
        <w:t xml:space="preserve"> nos quais </w:t>
      </w:r>
      <w:r w:rsidR="0021548F" w:rsidRPr="00085BC9">
        <w:rPr>
          <w:rFonts w:ascii="Arial" w:hAnsi="Arial" w:cs="Arial"/>
          <w:sz w:val="20"/>
          <w:szCs w:val="20"/>
        </w:rPr>
        <w:t xml:space="preserve">figure </w:t>
      </w:r>
      <w:r w:rsidR="003B1AA1">
        <w:rPr>
          <w:rFonts w:ascii="Arial" w:hAnsi="Arial" w:cs="Arial"/>
          <w:sz w:val="20"/>
          <w:szCs w:val="20"/>
        </w:rPr>
        <w:t xml:space="preserve">ente federativo </w:t>
      </w:r>
      <w:r w:rsidR="0021548F" w:rsidRPr="00085BC9">
        <w:rPr>
          <w:rFonts w:ascii="Arial" w:hAnsi="Arial" w:cs="Arial"/>
          <w:sz w:val="20"/>
          <w:szCs w:val="20"/>
        </w:rPr>
        <w:t>como devedor</w:t>
      </w:r>
      <w:r w:rsidR="003B1AA1">
        <w:rPr>
          <w:rFonts w:ascii="Arial" w:hAnsi="Arial" w:cs="Arial"/>
          <w:sz w:val="20"/>
          <w:szCs w:val="20"/>
        </w:rPr>
        <w:t>,</w:t>
      </w:r>
      <w:r w:rsidR="0021548F" w:rsidRPr="00085BC9">
        <w:rPr>
          <w:rFonts w:ascii="Arial" w:hAnsi="Arial" w:cs="Arial"/>
          <w:sz w:val="20"/>
          <w:szCs w:val="20"/>
        </w:rPr>
        <w:t xml:space="preserve"> ou preste fiança, aval, aceite</w:t>
      </w:r>
      <w:r w:rsidR="00895FF5">
        <w:rPr>
          <w:rFonts w:ascii="Arial" w:hAnsi="Arial" w:cs="Arial"/>
          <w:sz w:val="20"/>
          <w:szCs w:val="20"/>
        </w:rPr>
        <w:t xml:space="preserve"> </w:t>
      </w:r>
      <w:r w:rsidR="0021548F" w:rsidRPr="00085BC9">
        <w:rPr>
          <w:rFonts w:ascii="Arial" w:hAnsi="Arial" w:cs="Arial"/>
          <w:sz w:val="20"/>
          <w:szCs w:val="20"/>
        </w:rPr>
        <w:t xml:space="preserve">ou coobrigação </w:t>
      </w:r>
      <w:r w:rsidR="003B1AA1">
        <w:rPr>
          <w:rFonts w:ascii="Arial" w:hAnsi="Arial" w:cs="Arial"/>
          <w:sz w:val="20"/>
          <w:szCs w:val="20"/>
        </w:rPr>
        <w:t>de</w:t>
      </w:r>
      <w:r w:rsidR="0021548F" w:rsidRPr="00085BC9">
        <w:rPr>
          <w:rFonts w:ascii="Arial" w:hAnsi="Arial" w:cs="Arial"/>
          <w:sz w:val="20"/>
          <w:szCs w:val="20"/>
        </w:rPr>
        <w:t xml:space="preserve"> qualquer outra </w:t>
      </w:r>
      <w:r w:rsidR="003B1AA1">
        <w:rPr>
          <w:rFonts w:ascii="Arial" w:hAnsi="Arial" w:cs="Arial"/>
          <w:sz w:val="20"/>
          <w:szCs w:val="20"/>
        </w:rPr>
        <w:t>natureza</w:t>
      </w:r>
      <w:r w:rsidR="0021548F" w:rsidRPr="00085BC9">
        <w:rPr>
          <w:rFonts w:ascii="Arial" w:hAnsi="Arial" w:cs="Arial"/>
          <w:sz w:val="20"/>
          <w:szCs w:val="20"/>
        </w:rPr>
        <w:t>;</w:t>
      </w:r>
    </w:p>
    <w:p w:rsidR="0021548F" w:rsidRDefault="00202AC0" w:rsidP="00202AC0">
      <w:pPr>
        <w:spacing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C53EF">
        <w:rPr>
          <w:rFonts w:ascii="Arial" w:hAnsi="Arial" w:cs="Arial"/>
          <w:b/>
          <w:sz w:val="20"/>
          <w:szCs w:val="20"/>
        </w:rPr>
        <w:t>4.6.3.</w:t>
      </w:r>
      <w:r w:rsidR="00D8775D">
        <w:rPr>
          <w:rFonts w:ascii="Arial" w:hAnsi="Arial" w:cs="Arial"/>
          <w:b/>
          <w:sz w:val="20"/>
          <w:szCs w:val="20"/>
        </w:rPr>
        <w:t xml:space="preserve"> </w:t>
      </w:r>
      <w:r w:rsidR="0021548F">
        <w:rPr>
          <w:rFonts w:ascii="Arial" w:hAnsi="Arial" w:cs="Arial"/>
          <w:sz w:val="20"/>
          <w:szCs w:val="20"/>
        </w:rPr>
        <w:t>A</w:t>
      </w:r>
      <w:r w:rsidR="0021548F" w:rsidRPr="00085BC9">
        <w:rPr>
          <w:rFonts w:ascii="Arial" w:hAnsi="Arial" w:cs="Arial"/>
          <w:sz w:val="20"/>
          <w:szCs w:val="20"/>
        </w:rPr>
        <w:t>plicar recursos na aquisição de cotas de fundo de investimento em direitos</w:t>
      </w:r>
      <w:r w:rsidR="00D8775D">
        <w:rPr>
          <w:rFonts w:ascii="Arial" w:hAnsi="Arial" w:cs="Arial"/>
          <w:sz w:val="20"/>
          <w:szCs w:val="20"/>
        </w:rPr>
        <w:t xml:space="preserve"> </w:t>
      </w:r>
      <w:r w:rsidR="0021548F" w:rsidRPr="00085BC9">
        <w:rPr>
          <w:rFonts w:ascii="Arial" w:hAnsi="Arial" w:cs="Arial"/>
          <w:sz w:val="20"/>
          <w:szCs w:val="20"/>
        </w:rPr>
        <w:t>creditórios não padronizados;</w:t>
      </w:r>
    </w:p>
    <w:p w:rsidR="0021548F" w:rsidRDefault="00202AC0" w:rsidP="00202AC0">
      <w:pPr>
        <w:spacing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C53EF">
        <w:rPr>
          <w:rFonts w:ascii="Arial" w:hAnsi="Arial" w:cs="Arial"/>
          <w:b/>
          <w:sz w:val="20"/>
          <w:szCs w:val="20"/>
        </w:rPr>
        <w:t>4.6.4.</w:t>
      </w:r>
      <w:r w:rsidR="00D8775D">
        <w:rPr>
          <w:rFonts w:ascii="Arial" w:hAnsi="Arial" w:cs="Arial"/>
          <w:b/>
          <w:sz w:val="20"/>
          <w:szCs w:val="20"/>
        </w:rPr>
        <w:t xml:space="preserve"> </w:t>
      </w:r>
      <w:r w:rsidR="0021548F">
        <w:rPr>
          <w:rFonts w:ascii="Arial" w:hAnsi="Arial" w:cs="Arial"/>
          <w:sz w:val="20"/>
          <w:szCs w:val="20"/>
        </w:rPr>
        <w:t>P</w:t>
      </w:r>
      <w:r w:rsidR="0021548F" w:rsidRPr="00085BC9">
        <w:rPr>
          <w:rFonts w:ascii="Arial" w:hAnsi="Arial" w:cs="Arial"/>
          <w:sz w:val="20"/>
          <w:szCs w:val="20"/>
        </w:rPr>
        <w:t xml:space="preserve">raticar as operações denominadas </w:t>
      </w:r>
      <w:r w:rsidR="0021548F" w:rsidRPr="00085BC9">
        <w:rPr>
          <w:rFonts w:ascii="Arial" w:hAnsi="Arial" w:cs="Arial"/>
          <w:b/>
          <w:i/>
          <w:sz w:val="20"/>
          <w:szCs w:val="20"/>
        </w:rPr>
        <w:t>day-trade</w:t>
      </w:r>
      <w:r w:rsidR="0021548F" w:rsidRPr="00085BC9">
        <w:rPr>
          <w:rFonts w:ascii="Arial" w:hAnsi="Arial" w:cs="Arial"/>
          <w:sz w:val="20"/>
          <w:szCs w:val="20"/>
        </w:rPr>
        <w:t>, assim consideradas aquelas iniciadas e</w:t>
      </w:r>
      <w:r w:rsidR="00895FF5">
        <w:rPr>
          <w:rFonts w:ascii="Arial" w:hAnsi="Arial" w:cs="Arial"/>
          <w:sz w:val="20"/>
          <w:szCs w:val="20"/>
        </w:rPr>
        <w:t xml:space="preserve"> </w:t>
      </w:r>
      <w:r w:rsidR="0021548F" w:rsidRPr="00085BC9">
        <w:rPr>
          <w:rFonts w:ascii="Arial" w:hAnsi="Arial" w:cs="Arial"/>
          <w:sz w:val="20"/>
          <w:szCs w:val="20"/>
        </w:rPr>
        <w:t>encerradas no mesmo dia, independentemente de o regime próprio possuir estoque ou</w:t>
      </w:r>
      <w:r w:rsidR="00895FF5">
        <w:rPr>
          <w:rFonts w:ascii="Arial" w:hAnsi="Arial" w:cs="Arial"/>
          <w:sz w:val="20"/>
          <w:szCs w:val="20"/>
        </w:rPr>
        <w:t xml:space="preserve"> </w:t>
      </w:r>
      <w:r w:rsidR="0021548F" w:rsidRPr="00085BC9">
        <w:rPr>
          <w:rFonts w:ascii="Arial" w:hAnsi="Arial" w:cs="Arial"/>
          <w:sz w:val="20"/>
          <w:szCs w:val="20"/>
        </w:rPr>
        <w:t>posição anterior do mesmo ativo, quando tratar</w:t>
      </w:r>
      <w:r w:rsidR="003B1AA1">
        <w:rPr>
          <w:rFonts w:ascii="Arial" w:hAnsi="Arial" w:cs="Arial"/>
          <w:sz w:val="20"/>
          <w:szCs w:val="20"/>
        </w:rPr>
        <w:t>-se</w:t>
      </w:r>
      <w:r w:rsidR="0021548F" w:rsidRPr="00085BC9">
        <w:rPr>
          <w:rFonts w:ascii="Arial" w:hAnsi="Arial" w:cs="Arial"/>
          <w:sz w:val="20"/>
          <w:szCs w:val="20"/>
        </w:rPr>
        <w:t xml:space="preserve"> de negociações de títulos públicos</w:t>
      </w:r>
      <w:r w:rsidR="00895FF5">
        <w:rPr>
          <w:rFonts w:ascii="Arial" w:hAnsi="Arial" w:cs="Arial"/>
          <w:sz w:val="20"/>
          <w:szCs w:val="20"/>
        </w:rPr>
        <w:t xml:space="preserve"> </w:t>
      </w:r>
      <w:r w:rsidR="0021548F" w:rsidRPr="00085BC9">
        <w:rPr>
          <w:rFonts w:ascii="Arial" w:hAnsi="Arial" w:cs="Arial"/>
          <w:sz w:val="20"/>
          <w:szCs w:val="20"/>
        </w:rPr>
        <w:t>federais realizadas diretamente pelo regime próprio de previdência social;</w:t>
      </w:r>
    </w:p>
    <w:p w:rsidR="0021548F" w:rsidRDefault="00202AC0" w:rsidP="00202AC0">
      <w:pPr>
        <w:spacing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C53EF">
        <w:rPr>
          <w:rFonts w:ascii="Arial" w:hAnsi="Arial" w:cs="Arial"/>
          <w:b/>
          <w:sz w:val="20"/>
          <w:szCs w:val="20"/>
        </w:rPr>
        <w:t>4.6.5.</w:t>
      </w:r>
      <w:r w:rsidR="00D8775D">
        <w:rPr>
          <w:rFonts w:ascii="Arial" w:hAnsi="Arial" w:cs="Arial"/>
          <w:b/>
          <w:sz w:val="20"/>
          <w:szCs w:val="20"/>
        </w:rPr>
        <w:t xml:space="preserve"> </w:t>
      </w:r>
      <w:r w:rsidR="0021548F">
        <w:rPr>
          <w:rFonts w:ascii="Arial" w:hAnsi="Arial" w:cs="Arial"/>
          <w:sz w:val="20"/>
          <w:szCs w:val="20"/>
        </w:rPr>
        <w:t>A</w:t>
      </w:r>
      <w:r w:rsidR="0021548F" w:rsidRPr="00085BC9">
        <w:rPr>
          <w:rFonts w:ascii="Arial" w:hAnsi="Arial" w:cs="Arial"/>
          <w:sz w:val="20"/>
          <w:szCs w:val="20"/>
        </w:rPr>
        <w:t>tuar em modalidades operacionais ou negociar com duplicatas, títulos de crédito ou</w:t>
      </w:r>
      <w:r w:rsidR="00D8775D">
        <w:rPr>
          <w:rFonts w:ascii="Arial" w:hAnsi="Arial" w:cs="Arial"/>
          <w:sz w:val="20"/>
          <w:szCs w:val="20"/>
        </w:rPr>
        <w:t xml:space="preserve"> </w:t>
      </w:r>
      <w:r w:rsidR="0021548F" w:rsidRPr="00085BC9">
        <w:rPr>
          <w:rFonts w:ascii="Arial" w:hAnsi="Arial" w:cs="Arial"/>
          <w:sz w:val="20"/>
          <w:szCs w:val="20"/>
        </w:rPr>
        <w:t xml:space="preserve">outros ativos que não os previstos </w:t>
      </w:r>
      <w:r w:rsidR="001A4E08">
        <w:rPr>
          <w:rFonts w:ascii="Arial" w:hAnsi="Arial" w:cs="Arial"/>
          <w:sz w:val="20"/>
          <w:szCs w:val="20"/>
        </w:rPr>
        <w:t>na</w:t>
      </w:r>
      <w:r w:rsidR="00837A91">
        <w:rPr>
          <w:rFonts w:ascii="Arial" w:hAnsi="Arial" w:cs="Arial"/>
          <w:sz w:val="20"/>
          <w:szCs w:val="20"/>
        </w:rPr>
        <w:t xml:space="preserve"> Resolução 3.922/2010.</w:t>
      </w:r>
    </w:p>
    <w:p w:rsidR="00BB2234" w:rsidRPr="00E55076" w:rsidRDefault="00202AC0" w:rsidP="00202AC0">
      <w:pPr>
        <w:spacing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C53EF">
        <w:rPr>
          <w:rFonts w:ascii="Arial" w:hAnsi="Arial" w:cs="Arial"/>
          <w:b/>
          <w:sz w:val="20"/>
          <w:szCs w:val="20"/>
        </w:rPr>
        <w:t>4.6.6.</w:t>
      </w:r>
      <w:r w:rsidR="00D8775D">
        <w:rPr>
          <w:rFonts w:ascii="Arial" w:hAnsi="Arial" w:cs="Arial"/>
          <w:b/>
          <w:sz w:val="20"/>
          <w:szCs w:val="20"/>
        </w:rPr>
        <w:t xml:space="preserve"> </w:t>
      </w:r>
      <w:r w:rsidR="00BB2234" w:rsidRPr="00E55076">
        <w:rPr>
          <w:rFonts w:ascii="Arial" w:hAnsi="Arial" w:cs="Arial"/>
          <w:sz w:val="20"/>
          <w:szCs w:val="20"/>
        </w:rPr>
        <w:t xml:space="preserve">As aplicações em cotas de </w:t>
      </w:r>
      <w:r w:rsidR="00BB2234" w:rsidRPr="00E55076">
        <w:rPr>
          <w:rFonts w:ascii="Arial" w:hAnsi="Arial" w:cs="Arial"/>
          <w:bCs/>
          <w:sz w:val="20"/>
          <w:szCs w:val="20"/>
        </w:rPr>
        <w:t>um mesmo</w:t>
      </w:r>
      <w:r w:rsidR="00895FF5">
        <w:rPr>
          <w:rFonts w:ascii="Arial" w:hAnsi="Arial" w:cs="Arial"/>
          <w:bCs/>
          <w:sz w:val="20"/>
          <w:szCs w:val="20"/>
        </w:rPr>
        <w:t xml:space="preserve"> </w:t>
      </w:r>
      <w:r w:rsidR="00BB2234" w:rsidRPr="00E55076">
        <w:rPr>
          <w:rFonts w:ascii="Arial" w:hAnsi="Arial" w:cs="Arial"/>
          <w:sz w:val="20"/>
          <w:szCs w:val="20"/>
        </w:rPr>
        <w:t>fundo de investimento</w:t>
      </w:r>
      <w:r w:rsidR="005634CA">
        <w:rPr>
          <w:rFonts w:ascii="Arial" w:hAnsi="Arial" w:cs="Arial"/>
          <w:sz w:val="20"/>
          <w:szCs w:val="20"/>
        </w:rPr>
        <w:t>,</w:t>
      </w:r>
      <w:r w:rsidR="00BB2234" w:rsidRPr="00E55076">
        <w:rPr>
          <w:rFonts w:ascii="Arial" w:hAnsi="Arial" w:cs="Arial"/>
          <w:sz w:val="20"/>
          <w:szCs w:val="20"/>
        </w:rPr>
        <w:t xml:space="preserve"> ou </w:t>
      </w:r>
      <w:r w:rsidR="005634CA">
        <w:rPr>
          <w:rFonts w:ascii="Arial" w:hAnsi="Arial" w:cs="Arial"/>
          <w:sz w:val="20"/>
          <w:szCs w:val="20"/>
        </w:rPr>
        <w:t>investimentos em cotas de</w:t>
      </w:r>
      <w:r w:rsidR="00BB2234" w:rsidRPr="00E55076">
        <w:rPr>
          <w:rFonts w:ascii="Arial" w:hAnsi="Arial" w:cs="Arial"/>
          <w:sz w:val="20"/>
          <w:szCs w:val="20"/>
        </w:rPr>
        <w:t xml:space="preserve"> fundos de investimento não podem exce</w:t>
      </w:r>
      <w:r w:rsidR="005634CA">
        <w:rPr>
          <w:rFonts w:ascii="Arial" w:hAnsi="Arial" w:cs="Arial"/>
          <w:sz w:val="20"/>
          <w:szCs w:val="20"/>
        </w:rPr>
        <w:t>der</w:t>
      </w:r>
      <w:r w:rsidR="00BB2234" w:rsidRPr="00E55076">
        <w:rPr>
          <w:rFonts w:ascii="Arial" w:hAnsi="Arial" w:cs="Arial"/>
          <w:sz w:val="20"/>
          <w:szCs w:val="20"/>
        </w:rPr>
        <w:t xml:space="preserve"> 20% (vinte por cento) dos recursos em moeda corrente do Regime Próprio de Previdência </w:t>
      </w:r>
      <w:r w:rsidR="00D8775D" w:rsidRPr="00E55076">
        <w:rPr>
          <w:rFonts w:ascii="Arial" w:hAnsi="Arial" w:cs="Arial"/>
          <w:sz w:val="20"/>
          <w:szCs w:val="20"/>
        </w:rPr>
        <w:t>Socia</w:t>
      </w:r>
      <w:r w:rsidR="00D8775D">
        <w:rPr>
          <w:rFonts w:ascii="Arial" w:hAnsi="Arial" w:cs="Arial"/>
          <w:sz w:val="20"/>
          <w:szCs w:val="20"/>
        </w:rPr>
        <w:t xml:space="preserve">l, </w:t>
      </w:r>
      <w:r w:rsidR="005634CA">
        <w:rPr>
          <w:rFonts w:ascii="Arial" w:hAnsi="Arial" w:cs="Arial"/>
          <w:sz w:val="20"/>
          <w:szCs w:val="20"/>
        </w:rPr>
        <w:t>n</w:t>
      </w:r>
      <w:r w:rsidR="00BB2234" w:rsidRPr="00E55076">
        <w:rPr>
          <w:rFonts w:ascii="Arial" w:hAnsi="Arial" w:cs="Arial"/>
          <w:sz w:val="20"/>
          <w:szCs w:val="20"/>
        </w:rPr>
        <w:t>e</w:t>
      </w:r>
      <w:r w:rsidR="005634CA">
        <w:rPr>
          <w:rFonts w:ascii="Arial" w:hAnsi="Arial" w:cs="Arial"/>
          <w:sz w:val="20"/>
          <w:szCs w:val="20"/>
        </w:rPr>
        <w:t>m ir além de</w:t>
      </w:r>
      <w:r w:rsidR="00BB2234" w:rsidRPr="00E55076">
        <w:rPr>
          <w:rFonts w:ascii="Arial" w:hAnsi="Arial" w:cs="Arial"/>
          <w:sz w:val="20"/>
          <w:szCs w:val="20"/>
        </w:rPr>
        <w:t xml:space="preserve"> 25% (vinte e </w:t>
      </w:r>
      <w:r w:rsidR="00BB2234" w:rsidRPr="00E55076">
        <w:rPr>
          <w:rFonts w:ascii="Arial" w:hAnsi="Arial" w:cs="Arial"/>
          <w:sz w:val="20"/>
          <w:szCs w:val="20"/>
        </w:rPr>
        <w:lastRenderedPageBreak/>
        <w:t>cinco por cento) do patrimônio líquido do fundo de investimento</w:t>
      </w:r>
      <w:r w:rsidR="00E55076" w:rsidRPr="00E55076">
        <w:rPr>
          <w:rFonts w:ascii="Arial" w:hAnsi="Arial" w:cs="Arial"/>
          <w:sz w:val="20"/>
          <w:szCs w:val="20"/>
        </w:rPr>
        <w:t>, com exceção das carteiras administradas de Títulos Públicos Federais</w:t>
      </w:r>
      <w:r w:rsidR="00BB2234" w:rsidRPr="00E55076">
        <w:rPr>
          <w:rFonts w:ascii="Arial" w:hAnsi="Arial" w:cs="Arial"/>
          <w:sz w:val="20"/>
          <w:szCs w:val="20"/>
        </w:rPr>
        <w:t>;</w:t>
      </w:r>
    </w:p>
    <w:p w:rsidR="00BB2234" w:rsidRPr="00CF0E68" w:rsidRDefault="00202AC0" w:rsidP="00202AC0">
      <w:pPr>
        <w:spacing w:after="360" w:line="312"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C53EF">
        <w:rPr>
          <w:rFonts w:ascii="Arial" w:hAnsi="Arial" w:cs="Arial"/>
          <w:b/>
          <w:sz w:val="20"/>
          <w:szCs w:val="20"/>
        </w:rPr>
        <w:t>4.6.7.</w:t>
      </w:r>
      <w:r w:rsidR="007B7904">
        <w:rPr>
          <w:rFonts w:ascii="Arial" w:hAnsi="Arial" w:cs="Arial"/>
          <w:b/>
          <w:sz w:val="20"/>
          <w:szCs w:val="20"/>
        </w:rPr>
        <w:t xml:space="preserve"> </w:t>
      </w:r>
      <w:r w:rsidR="00BB2234" w:rsidRPr="00CF0E68">
        <w:rPr>
          <w:rFonts w:ascii="Arial" w:hAnsi="Arial" w:cs="Arial"/>
          <w:sz w:val="20"/>
          <w:szCs w:val="20"/>
        </w:rPr>
        <w:t xml:space="preserve">O total das aplicações do Regime Próprio de Previdência Social em </w:t>
      </w:r>
      <w:r w:rsidR="00BB2234" w:rsidRPr="00CF0E68">
        <w:rPr>
          <w:rFonts w:ascii="Arial" w:hAnsi="Arial" w:cs="Arial"/>
          <w:bCs/>
          <w:sz w:val="20"/>
          <w:szCs w:val="20"/>
        </w:rPr>
        <w:t>um mesmo</w:t>
      </w:r>
      <w:r w:rsidR="00895FF5">
        <w:rPr>
          <w:rFonts w:ascii="Arial" w:hAnsi="Arial" w:cs="Arial"/>
          <w:bCs/>
          <w:sz w:val="20"/>
          <w:szCs w:val="20"/>
        </w:rPr>
        <w:t xml:space="preserve"> </w:t>
      </w:r>
      <w:r w:rsidR="00BB2234" w:rsidRPr="00CF0E68">
        <w:rPr>
          <w:rFonts w:ascii="Arial" w:hAnsi="Arial" w:cs="Arial"/>
          <w:sz w:val="20"/>
          <w:szCs w:val="20"/>
        </w:rPr>
        <w:t>fundo de investimento deverá representar, no máximo, 20% (vinte por cento)</w:t>
      </w:r>
      <w:r w:rsidR="00BB2234" w:rsidRPr="00CF0E68">
        <w:rPr>
          <w:rFonts w:ascii="Arial" w:hAnsi="Arial" w:cs="Arial"/>
          <w:bCs/>
          <w:sz w:val="20"/>
          <w:szCs w:val="20"/>
        </w:rPr>
        <w:t xml:space="preserve"> do patrimônio líquido da emissora</w:t>
      </w:r>
      <w:r w:rsidR="00C41A5E">
        <w:rPr>
          <w:rFonts w:ascii="Arial" w:hAnsi="Arial" w:cs="Arial"/>
          <w:sz w:val="20"/>
          <w:szCs w:val="20"/>
        </w:rPr>
        <w:t>.</w:t>
      </w:r>
    </w:p>
    <w:p w:rsidR="00BB2234" w:rsidRPr="00CF0E68" w:rsidRDefault="001C53EF" w:rsidP="00C41A5E">
      <w:pPr>
        <w:tabs>
          <w:tab w:val="left" w:pos="1134"/>
        </w:tabs>
        <w:autoSpaceDE w:val="0"/>
        <w:autoSpaceDN w:val="0"/>
        <w:adjustRightInd w:val="0"/>
        <w:spacing w:after="120"/>
        <w:rPr>
          <w:rFonts w:ascii="Arial" w:hAnsi="Arial" w:cs="Arial"/>
          <w:b/>
          <w:bCs/>
          <w:smallCaps/>
        </w:rPr>
      </w:pPr>
      <w:r w:rsidRPr="00160340">
        <w:rPr>
          <w:rFonts w:ascii="Arial" w:hAnsi="Arial" w:cs="Arial"/>
          <w:b/>
          <w:bCs/>
          <w:sz w:val="20"/>
          <w:szCs w:val="20"/>
        </w:rPr>
        <w:t>4.</w:t>
      </w:r>
      <w:r>
        <w:rPr>
          <w:rFonts w:ascii="Arial" w:hAnsi="Arial" w:cs="Arial"/>
          <w:b/>
          <w:bCs/>
          <w:sz w:val="20"/>
          <w:szCs w:val="20"/>
        </w:rPr>
        <w:t>7</w:t>
      </w:r>
      <w:r w:rsidRPr="00160340">
        <w:rPr>
          <w:rFonts w:ascii="Arial" w:hAnsi="Arial" w:cs="Arial"/>
          <w:b/>
          <w:bCs/>
          <w:sz w:val="20"/>
          <w:szCs w:val="20"/>
        </w:rPr>
        <w:t xml:space="preserve">. </w:t>
      </w:r>
      <w:r>
        <w:rPr>
          <w:rFonts w:ascii="Arial" w:hAnsi="Arial" w:cs="Arial"/>
          <w:b/>
          <w:bCs/>
          <w:sz w:val="20"/>
          <w:szCs w:val="20"/>
        </w:rPr>
        <w:t>ALOCAÇÃO ESTRATÉGICA</w:t>
      </w:r>
    </w:p>
    <w:p w:rsidR="006E6FD7" w:rsidRPr="00CF0E68" w:rsidRDefault="006E6FD7" w:rsidP="001C53EF">
      <w:pPr>
        <w:spacing w:after="120" w:line="312" w:lineRule="auto"/>
        <w:ind w:firstLine="1418"/>
        <w:jc w:val="both"/>
        <w:rPr>
          <w:rFonts w:ascii="Arial" w:hAnsi="Arial" w:cs="Arial"/>
          <w:sz w:val="20"/>
          <w:szCs w:val="20"/>
        </w:rPr>
      </w:pPr>
      <w:r w:rsidRPr="00CF0E68">
        <w:rPr>
          <w:rFonts w:ascii="Arial" w:hAnsi="Arial" w:cs="Arial"/>
          <w:sz w:val="20"/>
          <w:szCs w:val="20"/>
        </w:rPr>
        <w:t xml:space="preserve">Sempre que possível, </w:t>
      </w:r>
      <w:r w:rsidR="00366021" w:rsidRPr="00CF0E68">
        <w:rPr>
          <w:rFonts w:ascii="Arial" w:hAnsi="Arial" w:cs="Arial"/>
          <w:sz w:val="20"/>
          <w:szCs w:val="20"/>
        </w:rPr>
        <w:t>a</w:t>
      </w:r>
      <w:r w:rsidRPr="00CF0E68">
        <w:rPr>
          <w:rFonts w:ascii="Arial" w:hAnsi="Arial" w:cs="Arial"/>
          <w:sz w:val="20"/>
          <w:szCs w:val="20"/>
        </w:rPr>
        <w:t xml:space="preserve"> AMPREV poderá adquirir títulos públicos de emissão do Tesouro Nacional com a finalidade de promover o casamento entre </w:t>
      </w:r>
      <w:r w:rsidR="00837A91">
        <w:rPr>
          <w:rFonts w:ascii="Arial" w:hAnsi="Arial" w:cs="Arial"/>
          <w:sz w:val="20"/>
          <w:szCs w:val="20"/>
        </w:rPr>
        <w:t>os</w:t>
      </w:r>
      <w:r w:rsidR="00623453" w:rsidRPr="00CF0E68">
        <w:rPr>
          <w:rFonts w:ascii="Arial" w:hAnsi="Arial" w:cs="Arial"/>
          <w:sz w:val="20"/>
          <w:szCs w:val="20"/>
        </w:rPr>
        <w:t xml:space="preserve"> fluxos do passivo atuaria</w:t>
      </w:r>
      <w:r w:rsidR="002574D2">
        <w:rPr>
          <w:rFonts w:ascii="Arial" w:hAnsi="Arial" w:cs="Arial"/>
          <w:sz w:val="20"/>
          <w:szCs w:val="20"/>
        </w:rPr>
        <w:t>l</w:t>
      </w:r>
      <w:r w:rsidR="007B7904">
        <w:rPr>
          <w:rFonts w:ascii="Arial" w:hAnsi="Arial" w:cs="Arial"/>
          <w:sz w:val="20"/>
          <w:szCs w:val="20"/>
        </w:rPr>
        <w:t xml:space="preserve"> </w:t>
      </w:r>
      <w:r w:rsidR="00B53DC7" w:rsidRPr="00E55076">
        <w:rPr>
          <w:rFonts w:ascii="Arial" w:hAnsi="Arial" w:cs="Arial"/>
          <w:sz w:val="20"/>
          <w:szCs w:val="20"/>
        </w:rPr>
        <w:t>(estudo de ALM</w:t>
      </w:r>
      <w:r w:rsidR="00837A91">
        <w:rPr>
          <w:rFonts w:ascii="Arial" w:hAnsi="Arial" w:cs="Arial"/>
          <w:sz w:val="20"/>
          <w:szCs w:val="20"/>
        </w:rPr>
        <w:t>-</w:t>
      </w:r>
      <w:r w:rsidR="00837A91" w:rsidRPr="00837A91">
        <w:rPr>
          <w:rFonts w:ascii="Arial" w:hAnsi="Arial" w:cs="Arial"/>
          <w:sz w:val="20"/>
          <w:szCs w:val="20"/>
        </w:rPr>
        <w:t>AssetLyabilit Management</w:t>
      </w:r>
      <w:r w:rsidR="00B53DC7" w:rsidRPr="00E55076">
        <w:rPr>
          <w:rFonts w:ascii="Arial" w:hAnsi="Arial" w:cs="Arial"/>
          <w:sz w:val="20"/>
          <w:szCs w:val="20"/>
        </w:rPr>
        <w:t>)</w:t>
      </w:r>
      <w:r w:rsidR="00623453" w:rsidRPr="00E55076">
        <w:rPr>
          <w:rFonts w:ascii="Arial" w:hAnsi="Arial" w:cs="Arial"/>
          <w:sz w:val="20"/>
          <w:szCs w:val="20"/>
        </w:rPr>
        <w:t xml:space="preserve">, respeitando o </w:t>
      </w:r>
      <w:r w:rsidR="00623453" w:rsidRPr="00891217">
        <w:rPr>
          <w:rFonts w:ascii="Arial" w:hAnsi="Arial" w:cs="Arial"/>
          <w:sz w:val="20"/>
          <w:szCs w:val="20"/>
        </w:rPr>
        <w:t>disposto no §</w:t>
      </w:r>
      <w:r w:rsidR="001A4E08" w:rsidRPr="00891217">
        <w:rPr>
          <w:rFonts w:ascii="Arial" w:hAnsi="Arial" w:cs="Arial"/>
          <w:sz w:val="20"/>
          <w:szCs w:val="20"/>
        </w:rPr>
        <w:t>1</w:t>
      </w:r>
      <w:r w:rsidR="00E50750" w:rsidRPr="00891217">
        <w:rPr>
          <w:rFonts w:ascii="Arial" w:hAnsi="Arial" w:cs="Arial"/>
          <w:sz w:val="20"/>
          <w:szCs w:val="20"/>
        </w:rPr>
        <w:t>° do</w:t>
      </w:r>
      <w:r w:rsidR="00623453" w:rsidRPr="00891217">
        <w:rPr>
          <w:rFonts w:ascii="Arial" w:hAnsi="Arial" w:cs="Arial"/>
          <w:sz w:val="20"/>
          <w:szCs w:val="20"/>
        </w:rPr>
        <w:t xml:space="preserve"> art. </w:t>
      </w:r>
      <w:r w:rsidR="009A4751" w:rsidRPr="00891217">
        <w:rPr>
          <w:rFonts w:ascii="Arial" w:hAnsi="Arial" w:cs="Arial"/>
          <w:sz w:val="20"/>
          <w:szCs w:val="20"/>
        </w:rPr>
        <w:t>7</w:t>
      </w:r>
      <w:r w:rsidR="001A4E08" w:rsidRPr="00891217">
        <w:rPr>
          <w:rFonts w:ascii="Arial" w:hAnsi="Arial" w:cs="Arial"/>
          <w:sz w:val="20"/>
          <w:szCs w:val="20"/>
        </w:rPr>
        <w:t>°</w:t>
      </w:r>
      <w:r w:rsidR="00623453" w:rsidRPr="00891217">
        <w:rPr>
          <w:rFonts w:ascii="Arial" w:hAnsi="Arial" w:cs="Arial"/>
          <w:sz w:val="20"/>
          <w:szCs w:val="20"/>
        </w:rPr>
        <w:t xml:space="preserve"> da Resolução CMN n° </w:t>
      </w:r>
      <w:r w:rsidR="001A4E08" w:rsidRPr="00891217">
        <w:rPr>
          <w:rFonts w:ascii="Arial" w:hAnsi="Arial" w:cs="Arial"/>
          <w:sz w:val="20"/>
          <w:szCs w:val="20"/>
        </w:rPr>
        <w:t>3.9</w:t>
      </w:r>
      <w:r w:rsidR="009A4751" w:rsidRPr="00891217">
        <w:rPr>
          <w:rFonts w:ascii="Arial" w:hAnsi="Arial" w:cs="Arial"/>
          <w:sz w:val="20"/>
          <w:szCs w:val="20"/>
        </w:rPr>
        <w:t>22</w:t>
      </w:r>
      <w:r w:rsidR="00623453" w:rsidRPr="00891217">
        <w:rPr>
          <w:rFonts w:ascii="Arial" w:hAnsi="Arial" w:cs="Arial"/>
          <w:sz w:val="20"/>
          <w:szCs w:val="20"/>
        </w:rPr>
        <w:t>/20</w:t>
      </w:r>
      <w:r w:rsidR="009A4751" w:rsidRPr="00891217">
        <w:rPr>
          <w:rFonts w:ascii="Arial" w:hAnsi="Arial" w:cs="Arial"/>
          <w:sz w:val="20"/>
          <w:szCs w:val="20"/>
        </w:rPr>
        <w:t>10</w:t>
      </w:r>
      <w:r w:rsidR="00623453" w:rsidRPr="00891217">
        <w:rPr>
          <w:rFonts w:ascii="Arial" w:hAnsi="Arial" w:cs="Arial"/>
          <w:sz w:val="20"/>
          <w:szCs w:val="20"/>
        </w:rPr>
        <w:t xml:space="preserve">, </w:t>
      </w:r>
      <w:r w:rsidR="00E50750" w:rsidRPr="00891217">
        <w:rPr>
          <w:rFonts w:ascii="Arial" w:hAnsi="Arial" w:cs="Arial"/>
          <w:sz w:val="20"/>
          <w:szCs w:val="20"/>
        </w:rPr>
        <w:t xml:space="preserve">devendo </w:t>
      </w:r>
      <w:r w:rsidR="00623453" w:rsidRPr="00891217">
        <w:rPr>
          <w:rFonts w:ascii="Arial" w:hAnsi="Arial" w:cs="Arial"/>
          <w:sz w:val="20"/>
          <w:szCs w:val="20"/>
        </w:rPr>
        <w:t xml:space="preserve">ser </w:t>
      </w:r>
      <w:r w:rsidR="00E50750" w:rsidRPr="00891217">
        <w:rPr>
          <w:rFonts w:ascii="Arial" w:hAnsi="Arial" w:cs="Arial"/>
          <w:sz w:val="20"/>
          <w:szCs w:val="20"/>
        </w:rPr>
        <w:t xml:space="preserve">providenciado seus </w:t>
      </w:r>
      <w:r w:rsidR="00623453" w:rsidRPr="00891217">
        <w:rPr>
          <w:rFonts w:ascii="Arial" w:hAnsi="Arial" w:cs="Arial"/>
          <w:sz w:val="20"/>
          <w:szCs w:val="20"/>
        </w:rPr>
        <w:t>registros</w:t>
      </w:r>
      <w:r w:rsidR="00895FF5">
        <w:rPr>
          <w:rFonts w:ascii="Arial" w:hAnsi="Arial" w:cs="Arial"/>
          <w:sz w:val="20"/>
          <w:szCs w:val="20"/>
        </w:rPr>
        <w:t xml:space="preserve"> </w:t>
      </w:r>
      <w:r w:rsidR="00623453" w:rsidRPr="00891217">
        <w:rPr>
          <w:rFonts w:ascii="Arial" w:hAnsi="Arial" w:cs="Arial"/>
          <w:sz w:val="20"/>
          <w:szCs w:val="20"/>
        </w:rPr>
        <w:t>n</w:t>
      </w:r>
      <w:r w:rsidR="00623453" w:rsidRPr="00CF0E68">
        <w:rPr>
          <w:rFonts w:ascii="Arial" w:hAnsi="Arial" w:cs="Arial"/>
          <w:sz w:val="20"/>
          <w:szCs w:val="20"/>
        </w:rPr>
        <w:t>o Sistema Especial de Liquidação e de Custódia (SELIC)</w:t>
      </w:r>
      <w:r w:rsidR="003377DE" w:rsidRPr="00CF0E68">
        <w:rPr>
          <w:rFonts w:ascii="Arial" w:hAnsi="Arial" w:cs="Arial"/>
          <w:sz w:val="20"/>
          <w:szCs w:val="20"/>
        </w:rPr>
        <w:t>.</w:t>
      </w:r>
    </w:p>
    <w:p w:rsidR="00F16861" w:rsidRPr="00CF0E68" w:rsidRDefault="00F16861" w:rsidP="001C53EF">
      <w:pPr>
        <w:autoSpaceDE w:val="0"/>
        <w:autoSpaceDN w:val="0"/>
        <w:adjustRightInd w:val="0"/>
        <w:spacing w:after="120" w:line="312" w:lineRule="auto"/>
        <w:ind w:firstLine="1418"/>
        <w:jc w:val="both"/>
        <w:rPr>
          <w:rFonts w:ascii="Arial" w:hAnsi="Arial" w:cs="Arial"/>
          <w:sz w:val="20"/>
          <w:szCs w:val="20"/>
        </w:rPr>
      </w:pPr>
      <w:r w:rsidRPr="00CF0E68">
        <w:rPr>
          <w:rFonts w:ascii="Arial" w:hAnsi="Arial" w:cs="Arial"/>
          <w:sz w:val="20"/>
          <w:szCs w:val="20"/>
        </w:rPr>
        <w:t xml:space="preserve">A aquisição </w:t>
      </w:r>
      <w:r w:rsidR="008852FC">
        <w:rPr>
          <w:rFonts w:ascii="Arial" w:hAnsi="Arial" w:cs="Arial"/>
          <w:sz w:val="20"/>
          <w:szCs w:val="20"/>
        </w:rPr>
        <w:t xml:space="preserve">de </w:t>
      </w:r>
      <w:r w:rsidRPr="00CF0E68">
        <w:rPr>
          <w:rFonts w:ascii="Arial" w:hAnsi="Arial" w:cs="Arial"/>
          <w:sz w:val="20"/>
          <w:szCs w:val="20"/>
        </w:rPr>
        <w:t>títulos públicos de emissão do Tesouro Nacional no mercado secundário</w:t>
      </w:r>
      <w:r w:rsidR="00AF592D" w:rsidRPr="00CF0E68">
        <w:rPr>
          <w:rFonts w:ascii="Arial" w:hAnsi="Arial" w:cs="Arial"/>
          <w:sz w:val="20"/>
          <w:szCs w:val="20"/>
        </w:rPr>
        <w:t xml:space="preserve"> será</w:t>
      </w:r>
      <w:r w:rsidRPr="00CF0E68">
        <w:rPr>
          <w:rFonts w:ascii="Arial" w:hAnsi="Arial" w:cs="Arial"/>
          <w:sz w:val="20"/>
          <w:szCs w:val="20"/>
        </w:rPr>
        <w:t xml:space="preserve"> realizad</w:t>
      </w:r>
      <w:r w:rsidR="00837A91">
        <w:rPr>
          <w:rFonts w:ascii="Arial" w:hAnsi="Arial" w:cs="Arial"/>
          <w:sz w:val="20"/>
          <w:szCs w:val="20"/>
        </w:rPr>
        <w:t>a</w:t>
      </w:r>
      <w:r w:rsidRPr="00CF0E68">
        <w:rPr>
          <w:rFonts w:ascii="Arial" w:hAnsi="Arial" w:cs="Arial"/>
          <w:sz w:val="20"/>
          <w:szCs w:val="20"/>
        </w:rPr>
        <w:t xml:space="preserve"> através de </w:t>
      </w:r>
      <w:r w:rsidR="00E50750">
        <w:rPr>
          <w:rFonts w:ascii="Arial" w:hAnsi="Arial" w:cs="Arial"/>
          <w:sz w:val="20"/>
          <w:szCs w:val="20"/>
        </w:rPr>
        <w:t>i</w:t>
      </w:r>
      <w:r w:rsidRPr="00CF0E68">
        <w:rPr>
          <w:rFonts w:ascii="Arial" w:hAnsi="Arial" w:cs="Arial"/>
          <w:sz w:val="20"/>
          <w:szCs w:val="20"/>
        </w:rPr>
        <w:t xml:space="preserve">nstituições </w:t>
      </w:r>
      <w:r w:rsidR="00E50750">
        <w:rPr>
          <w:rFonts w:ascii="Arial" w:hAnsi="Arial" w:cs="Arial"/>
          <w:sz w:val="20"/>
          <w:szCs w:val="20"/>
        </w:rPr>
        <w:t>f</w:t>
      </w:r>
      <w:r w:rsidRPr="00CF0E68">
        <w:rPr>
          <w:rFonts w:ascii="Arial" w:hAnsi="Arial" w:cs="Arial"/>
          <w:sz w:val="20"/>
          <w:szCs w:val="20"/>
        </w:rPr>
        <w:t>inanceiras detentoras de contrato de carteira administrada com a</w:t>
      </w:r>
      <w:r w:rsidR="00895FF5">
        <w:rPr>
          <w:rFonts w:ascii="Arial" w:hAnsi="Arial" w:cs="Arial"/>
          <w:sz w:val="20"/>
          <w:szCs w:val="20"/>
        </w:rPr>
        <w:t xml:space="preserve"> </w:t>
      </w:r>
      <w:r w:rsidR="000D00A5" w:rsidRPr="00891217">
        <w:rPr>
          <w:rFonts w:ascii="Arial" w:hAnsi="Arial" w:cs="Arial"/>
          <w:sz w:val="20"/>
          <w:szCs w:val="20"/>
        </w:rPr>
        <w:t>AMPREV</w:t>
      </w:r>
      <w:r w:rsidRPr="00891217">
        <w:rPr>
          <w:rFonts w:ascii="Arial" w:hAnsi="Arial" w:cs="Arial"/>
          <w:sz w:val="20"/>
          <w:szCs w:val="20"/>
        </w:rPr>
        <w:t xml:space="preserve">, </w:t>
      </w:r>
      <w:r w:rsidR="00656391" w:rsidRPr="00891217">
        <w:rPr>
          <w:rFonts w:ascii="Arial" w:hAnsi="Arial" w:cs="Arial"/>
          <w:sz w:val="20"/>
          <w:szCs w:val="20"/>
        </w:rPr>
        <w:t>obedecendo</w:t>
      </w:r>
      <w:r w:rsidR="00656391" w:rsidRPr="00CF0E68">
        <w:rPr>
          <w:rFonts w:ascii="Arial" w:hAnsi="Arial" w:cs="Arial"/>
          <w:sz w:val="20"/>
          <w:szCs w:val="20"/>
        </w:rPr>
        <w:t xml:space="preserve"> os</w:t>
      </w:r>
      <w:r w:rsidRPr="00CF0E68">
        <w:rPr>
          <w:rFonts w:ascii="Arial" w:hAnsi="Arial" w:cs="Arial"/>
          <w:sz w:val="20"/>
          <w:szCs w:val="20"/>
        </w:rPr>
        <w:t xml:space="preserve"> seguintes critérios:</w:t>
      </w:r>
    </w:p>
    <w:p w:rsidR="00F16861" w:rsidRPr="00CF0E68" w:rsidRDefault="00F16861" w:rsidP="001C53EF">
      <w:pPr>
        <w:numPr>
          <w:ilvl w:val="0"/>
          <w:numId w:val="22"/>
        </w:numPr>
        <w:tabs>
          <w:tab w:val="clear" w:pos="720"/>
        </w:tabs>
        <w:spacing w:line="312" w:lineRule="auto"/>
        <w:ind w:left="1701" w:hanging="283"/>
        <w:jc w:val="both"/>
        <w:rPr>
          <w:rFonts w:ascii="Arial" w:hAnsi="Arial" w:cs="Arial"/>
          <w:sz w:val="20"/>
          <w:szCs w:val="20"/>
        </w:rPr>
      </w:pPr>
      <w:r w:rsidRPr="00CF0E68">
        <w:rPr>
          <w:rFonts w:ascii="Arial" w:hAnsi="Arial" w:cs="Arial"/>
          <w:sz w:val="20"/>
          <w:szCs w:val="20"/>
        </w:rPr>
        <w:t>Rentabilidade</w:t>
      </w:r>
      <w:r w:rsidR="00722393" w:rsidRPr="00CF0E68">
        <w:rPr>
          <w:rFonts w:ascii="Arial" w:hAnsi="Arial" w:cs="Arial"/>
          <w:sz w:val="20"/>
          <w:szCs w:val="20"/>
        </w:rPr>
        <w:t xml:space="preserve"> líquida</w:t>
      </w:r>
      <w:r w:rsidRPr="00CF0E68">
        <w:rPr>
          <w:rFonts w:ascii="Arial" w:hAnsi="Arial" w:cs="Arial"/>
          <w:sz w:val="20"/>
          <w:szCs w:val="20"/>
        </w:rPr>
        <w:t>;</w:t>
      </w:r>
    </w:p>
    <w:p w:rsidR="00F16861" w:rsidRPr="00CF0E68" w:rsidRDefault="00B53DC7" w:rsidP="001C53EF">
      <w:pPr>
        <w:numPr>
          <w:ilvl w:val="0"/>
          <w:numId w:val="22"/>
        </w:numPr>
        <w:tabs>
          <w:tab w:val="clear" w:pos="720"/>
        </w:tabs>
        <w:spacing w:line="312" w:lineRule="auto"/>
        <w:ind w:left="1701" w:hanging="283"/>
        <w:jc w:val="both"/>
        <w:rPr>
          <w:rFonts w:ascii="Arial" w:hAnsi="Arial" w:cs="Arial"/>
          <w:sz w:val="20"/>
          <w:szCs w:val="20"/>
        </w:rPr>
      </w:pPr>
      <w:r>
        <w:rPr>
          <w:rFonts w:ascii="Arial" w:hAnsi="Arial" w:cs="Arial"/>
          <w:sz w:val="20"/>
          <w:szCs w:val="20"/>
        </w:rPr>
        <w:t>Menor Taxa de Administração;</w:t>
      </w:r>
    </w:p>
    <w:p w:rsidR="00F13379" w:rsidRPr="00CF0E68" w:rsidRDefault="00F13379" w:rsidP="001C53EF">
      <w:pPr>
        <w:numPr>
          <w:ilvl w:val="0"/>
          <w:numId w:val="22"/>
        </w:numPr>
        <w:tabs>
          <w:tab w:val="clear" w:pos="720"/>
        </w:tabs>
        <w:spacing w:after="120" w:line="312" w:lineRule="auto"/>
        <w:ind w:left="1701" w:hanging="283"/>
        <w:jc w:val="both"/>
        <w:rPr>
          <w:rFonts w:ascii="Arial" w:hAnsi="Arial" w:cs="Arial"/>
          <w:sz w:val="20"/>
          <w:szCs w:val="20"/>
        </w:rPr>
      </w:pPr>
      <w:r w:rsidRPr="00CF0E68">
        <w:rPr>
          <w:rFonts w:ascii="Arial" w:hAnsi="Arial" w:cs="Arial"/>
          <w:sz w:val="20"/>
          <w:szCs w:val="20"/>
        </w:rPr>
        <w:t>Marca</w:t>
      </w:r>
      <w:r w:rsidR="00FC1F02">
        <w:rPr>
          <w:rFonts w:ascii="Arial" w:hAnsi="Arial" w:cs="Arial"/>
          <w:sz w:val="20"/>
          <w:szCs w:val="20"/>
        </w:rPr>
        <w:t>ção a preço de mercado.</w:t>
      </w:r>
    </w:p>
    <w:p w:rsidR="006E6FD7" w:rsidRPr="00FC066E" w:rsidRDefault="005929D4" w:rsidP="001C53EF">
      <w:pPr>
        <w:spacing w:after="360" w:line="312" w:lineRule="auto"/>
        <w:ind w:firstLine="1418"/>
        <w:jc w:val="both"/>
        <w:rPr>
          <w:rFonts w:ascii="Arial" w:hAnsi="Arial" w:cs="Arial"/>
          <w:b/>
          <w:sz w:val="20"/>
          <w:szCs w:val="20"/>
        </w:rPr>
      </w:pPr>
      <w:r w:rsidRPr="00FC066E">
        <w:rPr>
          <w:rFonts w:ascii="Arial" w:hAnsi="Arial" w:cs="Arial"/>
          <w:sz w:val="20"/>
          <w:szCs w:val="20"/>
        </w:rPr>
        <w:t>A</w:t>
      </w:r>
      <w:r w:rsidR="006E6FD7" w:rsidRPr="00FC066E">
        <w:rPr>
          <w:rFonts w:ascii="Arial" w:hAnsi="Arial" w:cs="Arial"/>
          <w:sz w:val="20"/>
          <w:szCs w:val="20"/>
        </w:rPr>
        <w:t xml:space="preserve"> AMPREV</w:t>
      </w:r>
      <w:r w:rsidR="00FC066E" w:rsidRPr="00FC066E">
        <w:rPr>
          <w:rFonts w:ascii="Arial" w:hAnsi="Arial" w:cs="Arial"/>
          <w:sz w:val="20"/>
          <w:szCs w:val="20"/>
        </w:rPr>
        <w:t>, no</w:t>
      </w:r>
      <w:r w:rsidR="005018C6" w:rsidRPr="00FC066E">
        <w:rPr>
          <w:rFonts w:ascii="Arial" w:hAnsi="Arial" w:cs="Arial"/>
          <w:sz w:val="20"/>
          <w:szCs w:val="20"/>
        </w:rPr>
        <w:t xml:space="preserve"> exercício de 20</w:t>
      </w:r>
      <w:r w:rsidR="00D3518C" w:rsidRPr="00FC066E">
        <w:rPr>
          <w:rFonts w:ascii="Arial" w:hAnsi="Arial" w:cs="Arial"/>
          <w:sz w:val="20"/>
          <w:szCs w:val="20"/>
        </w:rPr>
        <w:t>1</w:t>
      </w:r>
      <w:r w:rsidR="005C24F2">
        <w:rPr>
          <w:rFonts w:ascii="Arial" w:hAnsi="Arial" w:cs="Arial"/>
          <w:sz w:val="20"/>
          <w:szCs w:val="20"/>
        </w:rPr>
        <w:t>5</w:t>
      </w:r>
      <w:r w:rsidR="005018C6" w:rsidRPr="00FC066E">
        <w:rPr>
          <w:rFonts w:ascii="Arial" w:hAnsi="Arial" w:cs="Arial"/>
          <w:sz w:val="20"/>
          <w:szCs w:val="20"/>
        </w:rPr>
        <w:t xml:space="preserve">, </w:t>
      </w:r>
      <w:r w:rsidR="00FC066E" w:rsidRPr="00FC066E">
        <w:rPr>
          <w:rFonts w:ascii="Arial" w:hAnsi="Arial" w:cs="Arial"/>
          <w:sz w:val="20"/>
          <w:szCs w:val="20"/>
        </w:rPr>
        <w:t xml:space="preserve">deverá </w:t>
      </w:r>
      <w:r w:rsidR="005018C6" w:rsidRPr="00FC066E">
        <w:rPr>
          <w:rFonts w:ascii="Arial" w:hAnsi="Arial" w:cs="Arial"/>
          <w:sz w:val="20"/>
          <w:szCs w:val="20"/>
        </w:rPr>
        <w:t xml:space="preserve">aprimorar a base cadastral, atuarial e legal, com a finalidade de realizar um </w:t>
      </w:r>
      <w:r w:rsidR="00E50750">
        <w:rPr>
          <w:rFonts w:ascii="Arial" w:hAnsi="Arial" w:cs="Arial"/>
          <w:sz w:val="20"/>
          <w:szCs w:val="20"/>
        </w:rPr>
        <w:t>e</w:t>
      </w:r>
      <w:r w:rsidR="00230160" w:rsidRPr="00FC066E">
        <w:rPr>
          <w:rFonts w:ascii="Arial" w:hAnsi="Arial" w:cs="Arial"/>
          <w:sz w:val="20"/>
          <w:szCs w:val="20"/>
        </w:rPr>
        <w:t>studo</w:t>
      </w:r>
      <w:r w:rsidR="00895FF5">
        <w:rPr>
          <w:rFonts w:ascii="Arial" w:hAnsi="Arial" w:cs="Arial"/>
          <w:sz w:val="20"/>
          <w:szCs w:val="20"/>
        </w:rPr>
        <w:t xml:space="preserve"> </w:t>
      </w:r>
      <w:r w:rsidR="00E50750">
        <w:rPr>
          <w:rFonts w:ascii="Arial" w:hAnsi="Arial" w:cs="Arial"/>
          <w:sz w:val="20"/>
          <w:szCs w:val="20"/>
        </w:rPr>
        <w:t>a</w:t>
      </w:r>
      <w:r w:rsidR="005018C6" w:rsidRPr="00FC066E">
        <w:rPr>
          <w:rFonts w:ascii="Arial" w:hAnsi="Arial" w:cs="Arial"/>
          <w:sz w:val="20"/>
          <w:szCs w:val="20"/>
        </w:rPr>
        <w:t xml:space="preserve">tuarial que </w:t>
      </w:r>
      <w:r w:rsidR="00230160" w:rsidRPr="00FC066E">
        <w:rPr>
          <w:rFonts w:ascii="Arial" w:hAnsi="Arial" w:cs="Arial"/>
          <w:sz w:val="20"/>
          <w:szCs w:val="20"/>
        </w:rPr>
        <w:t>garant</w:t>
      </w:r>
      <w:r w:rsidR="00AE20C6" w:rsidRPr="00FC066E">
        <w:rPr>
          <w:rFonts w:ascii="Arial" w:hAnsi="Arial" w:cs="Arial"/>
          <w:sz w:val="20"/>
          <w:szCs w:val="20"/>
        </w:rPr>
        <w:t>a</w:t>
      </w:r>
      <w:r w:rsidR="00230160" w:rsidRPr="00FC066E">
        <w:rPr>
          <w:rFonts w:ascii="Arial" w:hAnsi="Arial" w:cs="Arial"/>
          <w:sz w:val="20"/>
          <w:szCs w:val="20"/>
        </w:rPr>
        <w:t xml:space="preserve"> o</w:t>
      </w:r>
      <w:r w:rsidR="00AE20C6" w:rsidRPr="00FC066E">
        <w:rPr>
          <w:rFonts w:ascii="Arial" w:hAnsi="Arial" w:cs="Arial"/>
          <w:sz w:val="20"/>
          <w:szCs w:val="20"/>
        </w:rPr>
        <w:t xml:space="preserve"> cumprimento do</w:t>
      </w:r>
      <w:r w:rsidR="00230160" w:rsidRPr="00FC066E">
        <w:rPr>
          <w:rFonts w:ascii="Arial" w:hAnsi="Arial" w:cs="Arial"/>
          <w:sz w:val="20"/>
          <w:szCs w:val="20"/>
        </w:rPr>
        <w:t xml:space="preserve">s benefícios previdenciários </w:t>
      </w:r>
      <w:r w:rsidR="00E50750">
        <w:rPr>
          <w:rFonts w:ascii="Arial" w:hAnsi="Arial" w:cs="Arial"/>
          <w:sz w:val="20"/>
          <w:szCs w:val="20"/>
        </w:rPr>
        <w:t>em</w:t>
      </w:r>
      <w:r w:rsidR="00230160" w:rsidRPr="00FC066E">
        <w:rPr>
          <w:rFonts w:ascii="Arial" w:hAnsi="Arial" w:cs="Arial"/>
          <w:sz w:val="20"/>
          <w:szCs w:val="20"/>
        </w:rPr>
        <w:t xml:space="preserve"> curto, médio e longo prazo, </w:t>
      </w:r>
      <w:r w:rsidR="005018C6" w:rsidRPr="00FC066E">
        <w:rPr>
          <w:rFonts w:ascii="Arial" w:hAnsi="Arial" w:cs="Arial"/>
          <w:sz w:val="20"/>
          <w:szCs w:val="20"/>
        </w:rPr>
        <w:t>com intuito de orientar as realizações de aplicações</w:t>
      </w:r>
      <w:r w:rsidR="00230160" w:rsidRPr="00FC066E">
        <w:rPr>
          <w:rFonts w:ascii="Arial" w:hAnsi="Arial" w:cs="Arial"/>
          <w:sz w:val="20"/>
          <w:szCs w:val="20"/>
        </w:rPr>
        <w:t>. Es</w:t>
      </w:r>
      <w:r w:rsidR="00AE20C6" w:rsidRPr="00FC066E">
        <w:rPr>
          <w:rFonts w:ascii="Arial" w:hAnsi="Arial" w:cs="Arial"/>
          <w:sz w:val="20"/>
          <w:szCs w:val="20"/>
        </w:rPr>
        <w:t>t</w:t>
      </w:r>
      <w:r w:rsidR="00230160" w:rsidRPr="00FC066E">
        <w:rPr>
          <w:rFonts w:ascii="Arial" w:hAnsi="Arial" w:cs="Arial"/>
          <w:sz w:val="20"/>
          <w:szCs w:val="20"/>
        </w:rPr>
        <w:t xml:space="preserve">e </w:t>
      </w:r>
      <w:r w:rsidR="00E50750">
        <w:rPr>
          <w:rFonts w:ascii="Arial" w:hAnsi="Arial" w:cs="Arial"/>
          <w:sz w:val="20"/>
          <w:szCs w:val="20"/>
        </w:rPr>
        <w:t>e</w:t>
      </w:r>
      <w:r w:rsidR="00230160" w:rsidRPr="00FC066E">
        <w:rPr>
          <w:rFonts w:ascii="Arial" w:hAnsi="Arial" w:cs="Arial"/>
          <w:sz w:val="20"/>
          <w:szCs w:val="20"/>
        </w:rPr>
        <w:t xml:space="preserve">studo </w:t>
      </w:r>
      <w:r w:rsidR="00E50750">
        <w:rPr>
          <w:rFonts w:ascii="Arial" w:hAnsi="Arial" w:cs="Arial"/>
          <w:sz w:val="20"/>
          <w:szCs w:val="20"/>
        </w:rPr>
        <w:t>a</w:t>
      </w:r>
      <w:r w:rsidR="00230160" w:rsidRPr="00FC066E">
        <w:rPr>
          <w:rFonts w:ascii="Arial" w:hAnsi="Arial" w:cs="Arial"/>
          <w:sz w:val="20"/>
          <w:szCs w:val="20"/>
        </w:rPr>
        <w:t xml:space="preserve">tuarial balizará a </w:t>
      </w:r>
      <w:r w:rsidR="005018C6" w:rsidRPr="00FC066E">
        <w:rPr>
          <w:rFonts w:ascii="Arial" w:hAnsi="Arial" w:cs="Arial"/>
          <w:sz w:val="20"/>
          <w:szCs w:val="20"/>
        </w:rPr>
        <w:t>contrata</w:t>
      </w:r>
      <w:r w:rsidR="00230160" w:rsidRPr="00FC066E">
        <w:rPr>
          <w:rFonts w:ascii="Arial" w:hAnsi="Arial" w:cs="Arial"/>
          <w:sz w:val="20"/>
          <w:szCs w:val="20"/>
        </w:rPr>
        <w:t>ção de</w:t>
      </w:r>
      <w:r w:rsidR="005018C6" w:rsidRPr="00FC066E">
        <w:rPr>
          <w:rFonts w:ascii="Arial" w:hAnsi="Arial" w:cs="Arial"/>
          <w:sz w:val="20"/>
          <w:szCs w:val="20"/>
        </w:rPr>
        <w:t xml:space="preserve"> empresa especializada para elaborar e definir</w:t>
      </w:r>
      <w:r w:rsidR="00895FF5">
        <w:rPr>
          <w:rFonts w:ascii="Arial" w:hAnsi="Arial" w:cs="Arial"/>
          <w:sz w:val="20"/>
          <w:szCs w:val="20"/>
        </w:rPr>
        <w:t xml:space="preserve"> </w:t>
      </w:r>
      <w:r w:rsidR="005018C6" w:rsidRPr="00FC066E">
        <w:rPr>
          <w:rFonts w:ascii="Arial" w:hAnsi="Arial" w:cs="Arial"/>
          <w:sz w:val="20"/>
          <w:szCs w:val="20"/>
        </w:rPr>
        <w:t xml:space="preserve">cenários de longo prazo, </w:t>
      </w:r>
      <w:r w:rsidR="006E6FD7" w:rsidRPr="00FC066E">
        <w:rPr>
          <w:rFonts w:ascii="Arial" w:hAnsi="Arial" w:cs="Arial"/>
          <w:sz w:val="20"/>
          <w:szCs w:val="20"/>
        </w:rPr>
        <w:t>que serão utilizados pela metodologia empregada no processo de macro-alocação de ativos</w:t>
      </w:r>
      <w:r w:rsidR="00AE20C6" w:rsidRPr="00FC066E">
        <w:rPr>
          <w:rFonts w:ascii="Arial" w:hAnsi="Arial" w:cs="Arial"/>
          <w:sz w:val="20"/>
          <w:szCs w:val="20"/>
        </w:rPr>
        <w:t xml:space="preserve"> (</w:t>
      </w:r>
      <w:r w:rsidR="00AE20C6" w:rsidRPr="00FC066E">
        <w:rPr>
          <w:rFonts w:ascii="Arial" w:hAnsi="Arial" w:cs="Arial"/>
          <w:b/>
          <w:i/>
          <w:sz w:val="20"/>
          <w:szCs w:val="20"/>
        </w:rPr>
        <w:t>AssetLyabilit Management</w:t>
      </w:r>
      <w:r w:rsidR="00AE20C6" w:rsidRPr="00FC066E">
        <w:rPr>
          <w:rFonts w:ascii="Arial" w:hAnsi="Arial" w:cs="Arial"/>
          <w:b/>
          <w:sz w:val="20"/>
          <w:szCs w:val="20"/>
        </w:rPr>
        <w:t>- ALM - Gestão de Ativos e Passivos)</w:t>
      </w:r>
      <w:r w:rsidR="006E6FD7" w:rsidRPr="00FC066E">
        <w:rPr>
          <w:rFonts w:ascii="Arial" w:hAnsi="Arial" w:cs="Arial"/>
          <w:b/>
          <w:sz w:val="20"/>
          <w:szCs w:val="20"/>
        </w:rPr>
        <w:t>.</w:t>
      </w:r>
    </w:p>
    <w:p w:rsidR="00E67C06" w:rsidRPr="001C53EF" w:rsidRDefault="001C53EF" w:rsidP="001C53EF">
      <w:pPr>
        <w:autoSpaceDE w:val="0"/>
        <w:autoSpaceDN w:val="0"/>
        <w:adjustRightInd w:val="0"/>
        <w:spacing w:after="120"/>
        <w:rPr>
          <w:rFonts w:ascii="Arial" w:hAnsi="Arial" w:cs="Arial"/>
          <w:b/>
          <w:bCs/>
          <w:smallCaps/>
          <w:sz w:val="20"/>
          <w:szCs w:val="20"/>
        </w:rPr>
      </w:pPr>
      <w:bookmarkStart w:id="18" w:name="_Toc184817249"/>
      <w:r w:rsidRPr="001C53EF">
        <w:rPr>
          <w:rFonts w:ascii="Arial" w:hAnsi="Arial" w:cs="Arial"/>
          <w:b/>
          <w:bCs/>
          <w:smallCaps/>
          <w:sz w:val="20"/>
          <w:szCs w:val="20"/>
        </w:rPr>
        <w:t xml:space="preserve">4.8. </w:t>
      </w:r>
      <w:r w:rsidR="00E67C06" w:rsidRPr="001C53EF">
        <w:rPr>
          <w:rFonts w:ascii="Arial" w:hAnsi="Arial" w:cs="Arial"/>
          <w:b/>
          <w:smallCaps/>
          <w:sz w:val="20"/>
          <w:szCs w:val="20"/>
        </w:rPr>
        <w:t>M</w:t>
      </w:r>
      <w:r w:rsidRPr="001C53EF">
        <w:rPr>
          <w:rFonts w:ascii="Arial" w:hAnsi="Arial" w:cs="Arial"/>
          <w:b/>
          <w:smallCaps/>
          <w:sz w:val="20"/>
          <w:szCs w:val="20"/>
        </w:rPr>
        <w:t>ODELO DE GESTÃO</w:t>
      </w:r>
    </w:p>
    <w:bookmarkEnd w:id="18"/>
    <w:p w:rsidR="000D2EF6" w:rsidRPr="00FE2AA5" w:rsidRDefault="00D21BB7" w:rsidP="001C53EF">
      <w:pPr>
        <w:spacing w:after="360" w:line="312" w:lineRule="auto"/>
        <w:ind w:firstLine="1418"/>
        <w:jc w:val="both"/>
        <w:rPr>
          <w:rFonts w:ascii="Arial" w:hAnsi="Arial" w:cs="Arial"/>
          <w:color w:val="FF0000"/>
          <w:sz w:val="20"/>
          <w:szCs w:val="20"/>
        </w:rPr>
      </w:pPr>
      <w:r>
        <w:rPr>
          <w:rFonts w:ascii="Arial" w:hAnsi="Arial" w:cs="Arial"/>
          <w:sz w:val="20"/>
          <w:szCs w:val="20"/>
        </w:rPr>
        <w:t>A</w:t>
      </w:r>
      <w:r w:rsidR="000D2EF6" w:rsidRPr="00CF0E68">
        <w:rPr>
          <w:rFonts w:ascii="Arial" w:hAnsi="Arial" w:cs="Arial"/>
          <w:sz w:val="20"/>
          <w:szCs w:val="20"/>
        </w:rPr>
        <w:t xml:space="preserve"> gestão das aplicações dos recursos</w:t>
      </w:r>
      <w:r>
        <w:rPr>
          <w:rFonts w:ascii="Arial" w:hAnsi="Arial" w:cs="Arial"/>
          <w:sz w:val="20"/>
          <w:szCs w:val="20"/>
        </w:rPr>
        <w:t xml:space="preserve"> financeiros</w:t>
      </w:r>
      <w:r w:rsidR="000D2EF6" w:rsidRPr="00CF0E68">
        <w:rPr>
          <w:rFonts w:ascii="Arial" w:hAnsi="Arial" w:cs="Arial"/>
          <w:sz w:val="20"/>
          <w:szCs w:val="20"/>
        </w:rPr>
        <w:t xml:space="preserve"> d</w:t>
      </w:r>
      <w:r w:rsidR="00477511" w:rsidRPr="00CF0E68">
        <w:rPr>
          <w:rFonts w:ascii="Arial" w:hAnsi="Arial" w:cs="Arial"/>
          <w:sz w:val="20"/>
          <w:szCs w:val="20"/>
        </w:rPr>
        <w:t>a</w:t>
      </w:r>
      <w:r w:rsidR="00F73A33" w:rsidRPr="00CF0E68">
        <w:rPr>
          <w:rFonts w:ascii="Arial" w:hAnsi="Arial" w:cs="Arial"/>
          <w:sz w:val="20"/>
          <w:szCs w:val="20"/>
        </w:rPr>
        <w:t xml:space="preserve"> AMPREV</w:t>
      </w:r>
      <w:r w:rsidR="000D2EF6" w:rsidRPr="00CF0E68">
        <w:rPr>
          <w:rFonts w:ascii="Arial" w:hAnsi="Arial" w:cs="Arial"/>
          <w:sz w:val="20"/>
          <w:szCs w:val="20"/>
        </w:rPr>
        <w:t xml:space="preserve"> será </w:t>
      </w:r>
      <w:r w:rsidR="00B250F0" w:rsidRPr="00CF0E68">
        <w:rPr>
          <w:rFonts w:ascii="Arial" w:hAnsi="Arial" w:cs="Arial"/>
          <w:sz w:val="20"/>
          <w:szCs w:val="20"/>
        </w:rPr>
        <w:t>realizada</w:t>
      </w:r>
      <w:r w:rsidR="00E50750">
        <w:rPr>
          <w:rFonts w:ascii="Arial" w:hAnsi="Arial" w:cs="Arial"/>
          <w:sz w:val="20"/>
          <w:szCs w:val="20"/>
        </w:rPr>
        <w:t xml:space="preserve"> em</w:t>
      </w:r>
      <w:r w:rsidR="00B250F0" w:rsidRPr="00CF0E68">
        <w:rPr>
          <w:rFonts w:ascii="Arial" w:hAnsi="Arial" w:cs="Arial"/>
          <w:sz w:val="20"/>
          <w:szCs w:val="20"/>
        </w:rPr>
        <w:t xml:space="preserve"> parte </w:t>
      </w:r>
      <w:r w:rsidR="000D2EF6" w:rsidRPr="00CF0E68">
        <w:rPr>
          <w:rFonts w:ascii="Arial" w:hAnsi="Arial" w:cs="Arial"/>
          <w:sz w:val="20"/>
          <w:szCs w:val="20"/>
        </w:rPr>
        <w:t>pel</w:t>
      </w:r>
      <w:r w:rsidR="00973AC7" w:rsidRPr="00CF0E68">
        <w:rPr>
          <w:rFonts w:ascii="Arial" w:hAnsi="Arial" w:cs="Arial"/>
          <w:sz w:val="20"/>
          <w:szCs w:val="20"/>
        </w:rPr>
        <w:t>a</w:t>
      </w:r>
      <w:r w:rsidR="00347080" w:rsidRPr="00CF0E68">
        <w:rPr>
          <w:rFonts w:ascii="Arial" w:hAnsi="Arial" w:cs="Arial"/>
          <w:sz w:val="20"/>
          <w:szCs w:val="20"/>
        </w:rPr>
        <w:t xml:space="preserve"> própri</w:t>
      </w:r>
      <w:r w:rsidR="00973AC7" w:rsidRPr="00CF0E68">
        <w:rPr>
          <w:rFonts w:ascii="Arial" w:hAnsi="Arial" w:cs="Arial"/>
          <w:sz w:val="20"/>
          <w:szCs w:val="20"/>
        </w:rPr>
        <w:t>a</w:t>
      </w:r>
      <w:r w:rsidR="00895FF5">
        <w:rPr>
          <w:rFonts w:ascii="Arial" w:hAnsi="Arial" w:cs="Arial"/>
          <w:sz w:val="20"/>
          <w:szCs w:val="20"/>
        </w:rPr>
        <w:t xml:space="preserve"> </w:t>
      </w:r>
      <w:r w:rsidR="00973AC7" w:rsidRPr="00CF0E68">
        <w:rPr>
          <w:rFonts w:ascii="Arial" w:hAnsi="Arial" w:cs="Arial"/>
          <w:sz w:val="20"/>
          <w:szCs w:val="20"/>
        </w:rPr>
        <w:t>Instituição</w:t>
      </w:r>
      <w:r w:rsidR="00DF1D24">
        <w:rPr>
          <w:rFonts w:ascii="Arial" w:hAnsi="Arial" w:cs="Arial"/>
          <w:sz w:val="20"/>
          <w:szCs w:val="20"/>
        </w:rPr>
        <w:t xml:space="preserve"> (fundos de investimentos)</w:t>
      </w:r>
      <w:r w:rsidR="007B7904">
        <w:rPr>
          <w:rFonts w:ascii="Arial" w:hAnsi="Arial" w:cs="Arial"/>
          <w:sz w:val="20"/>
          <w:szCs w:val="20"/>
        </w:rPr>
        <w:t xml:space="preserve"> </w:t>
      </w:r>
      <w:r w:rsidR="00B250F0" w:rsidRPr="00CF0E68">
        <w:rPr>
          <w:rFonts w:ascii="Arial" w:hAnsi="Arial" w:cs="Arial"/>
          <w:sz w:val="20"/>
          <w:szCs w:val="20"/>
        </w:rPr>
        <w:t xml:space="preserve">e </w:t>
      </w:r>
      <w:r w:rsidR="00E50750">
        <w:rPr>
          <w:rFonts w:ascii="Arial" w:hAnsi="Arial" w:cs="Arial"/>
          <w:sz w:val="20"/>
          <w:szCs w:val="20"/>
        </w:rPr>
        <w:t xml:space="preserve">parcialmente </w:t>
      </w:r>
      <w:r w:rsidR="00B250F0" w:rsidRPr="00CF0E68">
        <w:rPr>
          <w:rFonts w:ascii="Arial" w:hAnsi="Arial" w:cs="Arial"/>
          <w:sz w:val="20"/>
          <w:szCs w:val="20"/>
        </w:rPr>
        <w:t xml:space="preserve">por </w:t>
      </w:r>
      <w:r w:rsidR="00E50750">
        <w:rPr>
          <w:rFonts w:ascii="Arial" w:hAnsi="Arial" w:cs="Arial"/>
          <w:sz w:val="20"/>
          <w:szCs w:val="20"/>
        </w:rPr>
        <w:t>i</w:t>
      </w:r>
      <w:r w:rsidR="00B250F0" w:rsidRPr="00CF0E68">
        <w:rPr>
          <w:rFonts w:ascii="Arial" w:hAnsi="Arial" w:cs="Arial"/>
          <w:sz w:val="20"/>
          <w:szCs w:val="20"/>
        </w:rPr>
        <w:t xml:space="preserve">nstituição </w:t>
      </w:r>
      <w:r w:rsidR="00E50750">
        <w:rPr>
          <w:rFonts w:ascii="Arial" w:hAnsi="Arial" w:cs="Arial"/>
          <w:sz w:val="20"/>
          <w:szCs w:val="20"/>
        </w:rPr>
        <w:t>f</w:t>
      </w:r>
      <w:r w:rsidR="00B250F0" w:rsidRPr="00CF0E68">
        <w:rPr>
          <w:rFonts w:ascii="Arial" w:hAnsi="Arial" w:cs="Arial"/>
          <w:sz w:val="20"/>
          <w:szCs w:val="20"/>
        </w:rPr>
        <w:t xml:space="preserve">inanceira aprovada no </w:t>
      </w:r>
      <w:r w:rsidR="00B250F0" w:rsidRPr="00E55076">
        <w:rPr>
          <w:rFonts w:ascii="Arial" w:hAnsi="Arial" w:cs="Arial"/>
          <w:sz w:val="20"/>
          <w:szCs w:val="20"/>
        </w:rPr>
        <w:t xml:space="preserve">processo </w:t>
      </w:r>
      <w:r w:rsidR="004E7774" w:rsidRPr="00E55076">
        <w:rPr>
          <w:rFonts w:ascii="Arial" w:hAnsi="Arial" w:cs="Arial"/>
          <w:sz w:val="20"/>
          <w:szCs w:val="20"/>
        </w:rPr>
        <w:t>de avaliação</w:t>
      </w:r>
      <w:r w:rsidR="00895FF5">
        <w:rPr>
          <w:rFonts w:ascii="Arial" w:hAnsi="Arial" w:cs="Arial"/>
          <w:sz w:val="20"/>
          <w:szCs w:val="20"/>
        </w:rPr>
        <w:t xml:space="preserve"> </w:t>
      </w:r>
      <w:r w:rsidR="00B250F0" w:rsidRPr="00CF0E68">
        <w:rPr>
          <w:rFonts w:ascii="Arial" w:hAnsi="Arial" w:cs="Arial"/>
          <w:sz w:val="20"/>
          <w:szCs w:val="20"/>
        </w:rPr>
        <w:t>estabelecido nesta Política</w:t>
      </w:r>
      <w:r w:rsidR="00DF1D24">
        <w:rPr>
          <w:rFonts w:ascii="Arial" w:hAnsi="Arial" w:cs="Arial"/>
          <w:sz w:val="20"/>
          <w:szCs w:val="20"/>
        </w:rPr>
        <w:t xml:space="preserve"> (carteiras administradas)</w:t>
      </w:r>
      <w:r w:rsidR="00B250F0" w:rsidRPr="00CF0E68">
        <w:rPr>
          <w:rFonts w:ascii="Arial" w:hAnsi="Arial" w:cs="Arial"/>
          <w:sz w:val="20"/>
          <w:szCs w:val="20"/>
        </w:rPr>
        <w:t>.</w:t>
      </w:r>
    </w:p>
    <w:p w:rsidR="00477511" w:rsidRPr="001C53EF" w:rsidRDefault="001C53EF" w:rsidP="00973AC7">
      <w:pPr>
        <w:tabs>
          <w:tab w:val="left" w:pos="1134"/>
        </w:tabs>
        <w:autoSpaceDE w:val="0"/>
        <w:autoSpaceDN w:val="0"/>
        <w:adjustRightInd w:val="0"/>
        <w:spacing w:after="120"/>
        <w:rPr>
          <w:rFonts w:ascii="Arial" w:hAnsi="Arial" w:cs="Arial"/>
          <w:b/>
          <w:smallCaps/>
          <w:sz w:val="20"/>
          <w:szCs w:val="20"/>
        </w:rPr>
      </w:pPr>
      <w:bookmarkStart w:id="19" w:name="_Toc184817250"/>
      <w:r w:rsidRPr="001C53EF">
        <w:rPr>
          <w:rFonts w:ascii="Arial" w:hAnsi="Arial" w:cs="Arial"/>
          <w:b/>
          <w:bCs/>
          <w:smallCaps/>
          <w:sz w:val="20"/>
          <w:szCs w:val="20"/>
        </w:rPr>
        <w:t xml:space="preserve">4.9. </w:t>
      </w:r>
      <w:r w:rsidR="00477511" w:rsidRPr="001C53EF">
        <w:rPr>
          <w:rFonts w:ascii="Arial" w:hAnsi="Arial" w:cs="Arial"/>
          <w:b/>
          <w:smallCaps/>
          <w:sz w:val="20"/>
          <w:szCs w:val="20"/>
        </w:rPr>
        <w:t>P</w:t>
      </w:r>
      <w:r w:rsidRPr="001C53EF">
        <w:rPr>
          <w:rFonts w:ascii="Arial" w:hAnsi="Arial" w:cs="Arial"/>
          <w:b/>
          <w:smallCaps/>
          <w:sz w:val="20"/>
          <w:szCs w:val="20"/>
        </w:rPr>
        <w:t>ROCESSO DE SELEÇÃO DE ADMINISTRADORES/GESTORES</w:t>
      </w:r>
    </w:p>
    <w:p w:rsidR="00014027" w:rsidRPr="002A525F" w:rsidRDefault="00014027" w:rsidP="001C53EF">
      <w:pPr>
        <w:spacing w:after="120" w:line="312" w:lineRule="auto"/>
        <w:ind w:firstLine="1418"/>
        <w:jc w:val="both"/>
        <w:rPr>
          <w:rFonts w:ascii="Arial" w:hAnsi="Arial" w:cs="Arial"/>
          <w:sz w:val="20"/>
        </w:rPr>
      </w:pPr>
      <w:r w:rsidRPr="002A525F">
        <w:rPr>
          <w:rFonts w:ascii="Arial" w:hAnsi="Arial" w:cs="Arial"/>
          <w:bCs/>
          <w:sz w:val="20"/>
        </w:rPr>
        <w:t xml:space="preserve">As aplicações em fundos de investimento deverão ocorrer mediante credenciamento de instituição financeira </w:t>
      </w:r>
      <w:r w:rsidR="000D00A5">
        <w:rPr>
          <w:rFonts w:ascii="Arial" w:hAnsi="Arial" w:cs="Arial"/>
          <w:bCs/>
          <w:sz w:val="20"/>
        </w:rPr>
        <w:t>à</w:t>
      </w:r>
      <w:r w:rsidRPr="002A525F">
        <w:rPr>
          <w:rFonts w:ascii="Arial" w:hAnsi="Arial" w:cs="Arial"/>
          <w:bCs/>
          <w:sz w:val="20"/>
        </w:rPr>
        <w:t xml:space="preserve"> avaliação comparativa de produtos similares, devendo ser considerados critérios contemplando segurança, rentabilidade, solvência e liquidez dessas aplicações e das instit</w:t>
      </w:r>
      <w:r w:rsidR="00E50750">
        <w:rPr>
          <w:rFonts w:ascii="Arial" w:hAnsi="Arial" w:cs="Arial"/>
          <w:bCs/>
          <w:sz w:val="20"/>
        </w:rPr>
        <w:t>uições, de forma a viabilizar</w:t>
      </w:r>
      <w:r w:rsidR="005C3A98">
        <w:rPr>
          <w:rFonts w:ascii="Arial" w:hAnsi="Arial" w:cs="Arial"/>
          <w:bCs/>
          <w:sz w:val="20"/>
        </w:rPr>
        <w:t xml:space="preserve"> a </w:t>
      </w:r>
      <w:r w:rsidRPr="002A525F">
        <w:rPr>
          <w:rFonts w:ascii="Arial" w:hAnsi="Arial" w:cs="Arial"/>
          <w:bCs/>
          <w:sz w:val="20"/>
        </w:rPr>
        <w:t>melhor escolha.</w:t>
      </w:r>
    </w:p>
    <w:p w:rsidR="00014027" w:rsidRDefault="00014027" w:rsidP="001C53EF">
      <w:pPr>
        <w:spacing w:after="120" w:line="312" w:lineRule="auto"/>
        <w:ind w:firstLine="1418"/>
        <w:jc w:val="both"/>
        <w:rPr>
          <w:rFonts w:ascii="Arial" w:hAnsi="Arial" w:cs="Arial"/>
          <w:sz w:val="20"/>
        </w:rPr>
      </w:pPr>
      <w:r w:rsidRPr="002A525F">
        <w:rPr>
          <w:rFonts w:ascii="Arial" w:hAnsi="Arial" w:cs="Arial"/>
          <w:sz w:val="20"/>
        </w:rPr>
        <w:t>Para a seleção de instituições financeiras será constituído processo de credenciamento conforme disposto na Resolução CMN n° 3.9</w:t>
      </w:r>
      <w:r w:rsidR="009A4751">
        <w:rPr>
          <w:rFonts w:ascii="Arial" w:hAnsi="Arial" w:cs="Arial"/>
          <w:sz w:val="20"/>
        </w:rPr>
        <w:t>22</w:t>
      </w:r>
      <w:r w:rsidRPr="002A525F">
        <w:rPr>
          <w:rFonts w:ascii="Arial" w:hAnsi="Arial" w:cs="Arial"/>
          <w:sz w:val="20"/>
        </w:rPr>
        <w:t>/</w:t>
      </w:r>
      <w:r w:rsidRPr="00891217">
        <w:rPr>
          <w:rFonts w:ascii="Arial" w:hAnsi="Arial" w:cs="Arial"/>
          <w:sz w:val="20"/>
        </w:rPr>
        <w:t>20</w:t>
      </w:r>
      <w:r w:rsidR="009A4751" w:rsidRPr="00891217">
        <w:rPr>
          <w:rFonts w:ascii="Arial" w:hAnsi="Arial" w:cs="Arial"/>
          <w:sz w:val="20"/>
        </w:rPr>
        <w:t>10</w:t>
      </w:r>
      <w:r w:rsidR="000D00A5" w:rsidRPr="00891217">
        <w:rPr>
          <w:rFonts w:ascii="Arial" w:hAnsi="Arial" w:cs="Arial"/>
          <w:sz w:val="20"/>
        </w:rPr>
        <w:t xml:space="preserve"> e na Portaria MPS nº. 519/2011 e suas alterações</w:t>
      </w:r>
      <w:r w:rsidRPr="00891217">
        <w:rPr>
          <w:rFonts w:ascii="Arial" w:hAnsi="Arial" w:cs="Arial"/>
          <w:sz w:val="20"/>
        </w:rPr>
        <w:t xml:space="preserve">. O processo consistirá </w:t>
      </w:r>
      <w:r w:rsidR="007B3CF9" w:rsidRPr="00891217">
        <w:rPr>
          <w:rFonts w:ascii="Arial" w:hAnsi="Arial" w:cs="Arial"/>
          <w:sz w:val="20"/>
        </w:rPr>
        <w:t>em</w:t>
      </w:r>
      <w:r w:rsidRPr="00891217">
        <w:rPr>
          <w:rFonts w:ascii="Arial" w:hAnsi="Arial" w:cs="Arial"/>
          <w:sz w:val="20"/>
        </w:rPr>
        <w:t xml:space="preserve"> envio às instituições</w:t>
      </w:r>
      <w:r w:rsidRPr="002A525F">
        <w:rPr>
          <w:rFonts w:ascii="Arial" w:hAnsi="Arial" w:cs="Arial"/>
          <w:sz w:val="20"/>
        </w:rPr>
        <w:t xml:space="preserve"> financeiras de questionário que contemplará a análise dos seguintes critérios:</w:t>
      </w:r>
    </w:p>
    <w:p w:rsidR="00DF1D24" w:rsidRDefault="00DF1D24" w:rsidP="001C53EF">
      <w:pPr>
        <w:spacing w:after="120" w:line="312" w:lineRule="auto"/>
        <w:ind w:firstLine="1418"/>
        <w:jc w:val="both"/>
        <w:rPr>
          <w:rFonts w:ascii="Arial" w:hAnsi="Arial" w:cs="Arial"/>
          <w:sz w:val="20"/>
        </w:rPr>
      </w:pPr>
    </w:p>
    <w:p w:rsidR="00DF1D24" w:rsidRPr="002A525F" w:rsidRDefault="00DF1D24" w:rsidP="001C53EF">
      <w:pPr>
        <w:spacing w:after="120" w:line="312" w:lineRule="auto"/>
        <w:ind w:firstLine="1418"/>
        <w:jc w:val="both"/>
        <w:rPr>
          <w:rFonts w:ascii="Arial" w:hAnsi="Arial" w:cs="Arial"/>
          <w:sz w:val="20"/>
        </w:rPr>
      </w:pPr>
    </w:p>
    <w:p w:rsidR="00014027" w:rsidRPr="002A525F" w:rsidRDefault="00014027" w:rsidP="001C53EF">
      <w:pPr>
        <w:spacing w:after="120"/>
        <w:ind w:firstLine="1418"/>
        <w:jc w:val="both"/>
        <w:rPr>
          <w:rFonts w:ascii="Arial" w:hAnsi="Arial" w:cs="Arial"/>
          <w:b/>
          <w:sz w:val="20"/>
        </w:rPr>
      </w:pPr>
      <w:r w:rsidRPr="002A525F">
        <w:rPr>
          <w:rFonts w:ascii="Arial" w:hAnsi="Arial" w:cs="Arial"/>
          <w:b/>
          <w:sz w:val="20"/>
        </w:rPr>
        <w:sym w:font="Wingdings" w:char="F0D8"/>
      </w:r>
      <w:r w:rsidRPr="002A525F">
        <w:rPr>
          <w:rFonts w:ascii="Arial" w:hAnsi="Arial" w:cs="Arial"/>
          <w:b/>
          <w:sz w:val="20"/>
        </w:rPr>
        <w:t>Critérios Qualitativos</w:t>
      </w:r>
    </w:p>
    <w:p w:rsidR="00014027" w:rsidRPr="00891217" w:rsidRDefault="00624C29" w:rsidP="001C53EF">
      <w:pPr>
        <w:numPr>
          <w:ilvl w:val="0"/>
          <w:numId w:val="22"/>
        </w:numPr>
        <w:tabs>
          <w:tab w:val="clear" w:pos="720"/>
        </w:tabs>
        <w:spacing w:after="60" w:line="312" w:lineRule="auto"/>
        <w:ind w:left="1701" w:hanging="283"/>
        <w:jc w:val="both"/>
        <w:rPr>
          <w:rFonts w:ascii="Arial" w:hAnsi="Arial" w:cs="Arial"/>
          <w:sz w:val="20"/>
        </w:rPr>
      </w:pPr>
      <w:r w:rsidRPr="00891217">
        <w:rPr>
          <w:rFonts w:ascii="Arial" w:hAnsi="Arial" w:cs="Arial"/>
          <w:sz w:val="20"/>
        </w:rPr>
        <w:t>Atos de registro ou autorização para funcionamento expedido pelo Banco Central do Brasil ou Comissão de Valores Mobiliários ou órgão competente;</w:t>
      </w:r>
    </w:p>
    <w:p w:rsidR="00624C29" w:rsidRPr="00891217" w:rsidRDefault="00624C29" w:rsidP="001C53EF">
      <w:pPr>
        <w:numPr>
          <w:ilvl w:val="0"/>
          <w:numId w:val="22"/>
        </w:numPr>
        <w:tabs>
          <w:tab w:val="clear" w:pos="720"/>
        </w:tabs>
        <w:spacing w:after="60" w:line="312" w:lineRule="auto"/>
        <w:ind w:left="1701" w:hanging="283"/>
        <w:jc w:val="both"/>
        <w:rPr>
          <w:rFonts w:ascii="Arial" w:hAnsi="Arial" w:cs="Arial"/>
          <w:sz w:val="20"/>
        </w:rPr>
      </w:pPr>
      <w:r w:rsidRPr="00891217">
        <w:rPr>
          <w:rFonts w:ascii="Arial" w:hAnsi="Arial" w:cs="Arial"/>
          <w:sz w:val="20"/>
        </w:rPr>
        <w:t xml:space="preserve">Observação de elevado padrão ético de conduta nas operações realizadas no mercado financeiro e ausência de restrições que, a critério do Banco Central do Brasil, da Comissão de Valores Mobiliários ou de outros órgãos competentes desaconselhem um relacionamento seguro; </w:t>
      </w:r>
    </w:p>
    <w:p w:rsidR="00014027" w:rsidRPr="002A525F" w:rsidRDefault="00014027" w:rsidP="001C53EF">
      <w:pPr>
        <w:numPr>
          <w:ilvl w:val="0"/>
          <w:numId w:val="22"/>
        </w:numPr>
        <w:tabs>
          <w:tab w:val="clear" w:pos="720"/>
        </w:tabs>
        <w:spacing w:after="60" w:line="312" w:lineRule="auto"/>
        <w:ind w:left="1701" w:hanging="283"/>
        <w:jc w:val="both"/>
        <w:rPr>
          <w:rFonts w:ascii="Arial" w:hAnsi="Arial" w:cs="Arial"/>
          <w:sz w:val="20"/>
        </w:rPr>
      </w:pPr>
      <w:r w:rsidRPr="002A525F">
        <w:rPr>
          <w:rFonts w:ascii="Arial" w:hAnsi="Arial" w:cs="Arial"/>
          <w:sz w:val="20"/>
        </w:rPr>
        <w:t>Solidez da instituição (Modelo Fiduciário - Administrador, Gestor e Custodiante);</w:t>
      </w:r>
    </w:p>
    <w:p w:rsidR="00014027" w:rsidRPr="002A525F" w:rsidRDefault="00014027" w:rsidP="001C53EF">
      <w:pPr>
        <w:numPr>
          <w:ilvl w:val="0"/>
          <w:numId w:val="22"/>
        </w:numPr>
        <w:tabs>
          <w:tab w:val="clear" w:pos="720"/>
        </w:tabs>
        <w:spacing w:after="60" w:line="312" w:lineRule="auto"/>
        <w:ind w:left="1701" w:hanging="283"/>
        <w:jc w:val="both"/>
        <w:rPr>
          <w:rFonts w:ascii="Arial" w:hAnsi="Arial" w:cs="Arial"/>
          <w:sz w:val="20"/>
        </w:rPr>
      </w:pPr>
      <w:r w:rsidRPr="002A525F">
        <w:rPr>
          <w:rFonts w:ascii="Arial" w:hAnsi="Arial" w:cs="Arial"/>
          <w:sz w:val="20"/>
        </w:rPr>
        <w:t>Experiência na gestão de recursos de clientes institucionais;</w:t>
      </w:r>
    </w:p>
    <w:p w:rsidR="00FC066E" w:rsidRDefault="00014027" w:rsidP="009672BC">
      <w:pPr>
        <w:numPr>
          <w:ilvl w:val="0"/>
          <w:numId w:val="22"/>
        </w:numPr>
        <w:tabs>
          <w:tab w:val="clear" w:pos="720"/>
        </w:tabs>
        <w:spacing w:after="60" w:line="312" w:lineRule="auto"/>
        <w:ind w:left="1701" w:hanging="283"/>
        <w:jc w:val="both"/>
        <w:rPr>
          <w:rFonts w:ascii="Arial" w:hAnsi="Arial" w:cs="Arial"/>
          <w:sz w:val="20"/>
        </w:rPr>
      </w:pPr>
      <w:r w:rsidRPr="002A525F">
        <w:rPr>
          <w:rFonts w:ascii="Arial" w:hAnsi="Arial" w:cs="Arial"/>
          <w:sz w:val="20"/>
        </w:rPr>
        <w:t>Qualidade da equipe</w:t>
      </w:r>
      <w:r w:rsidR="00FC066E">
        <w:rPr>
          <w:rFonts w:ascii="Arial" w:hAnsi="Arial" w:cs="Arial"/>
          <w:sz w:val="20"/>
        </w:rPr>
        <w:t>;</w:t>
      </w:r>
    </w:p>
    <w:p w:rsidR="00014027" w:rsidRPr="002A525F" w:rsidRDefault="00FC066E" w:rsidP="009672BC">
      <w:pPr>
        <w:numPr>
          <w:ilvl w:val="0"/>
          <w:numId w:val="22"/>
        </w:numPr>
        <w:tabs>
          <w:tab w:val="clear" w:pos="720"/>
        </w:tabs>
        <w:spacing w:after="60" w:line="312" w:lineRule="auto"/>
        <w:ind w:left="1701" w:hanging="283"/>
        <w:jc w:val="both"/>
        <w:rPr>
          <w:rFonts w:ascii="Arial" w:hAnsi="Arial" w:cs="Arial"/>
          <w:sz w:val="20"/>
        </w:rPr>
      </w:pPr>
      <w:r>
        <w:rPr>
          <w:rFonts w:ascii="Arial" w:hAnsi="Arial" w:cs="Arial"/>
          <w:sz w:val="20"/>
        </w:rPr>
        <w:t>V</w:t>
      </w:r>
      <w:r w:rsidR="00014027" w:rsidRPr="002A525F">
        <w:rPr>
          <w:rFonts w:ascii="Arial" w:hAnsi="Arial" w:cs="Arial"/>
          <w:sz w:val="20"/>
        </w:rPr>
        <w:t>olume de negócios;</w:t>
      </w:r>
    </w:p>
    <w:p w:rsidR="00014027" w:rsidRPr="002A525F" w:rsidRDefault="00014027" w:rsidP="009672BC">
      <w:pPr>
        <w:numPr>
          <w:ilvl w:val="0"/>
          <w:numId w:val="22"/>
        </w:numPr>
        <w:tabs>
          <w:tab w:val="clear" w:pos="720"/>
        </w:tabs>
        <w:spacing w:after="240" w:line="312" w:lineRule="auto"/>
        <w:ind w:left="1701" w:hanging="283"/>
        <w:jc w:val="both"/>
        <w:rPr>
          <w:rFonts w:ascii="Arial" w:hAnsi="Arial" w:cs="Arial"/>
          <w:sz w:val="20"/>
        </w:rPr>
      </w:pPr>
      <w:r w:rsidRPr="002A525F">
        <w:rPr>
          <w:rFonts w:ascii="Arial" w:hAnsi="Arial" w:cs="Arial"/>
          <w:sz w:val="20"/>
        </w:rPr>
        <w:t>Qualidade do atendimento na área de relacionamento.</w:t>
      </w:r>
    </w:p>
    <w:p w:rsidR="00014027" w:rsidRPr="002A525F" w:rsidRDefault="00014027" w:rsidP="009672BC">
      <w:pPr>
        <w:spacing w:after="120"/>
        <w:ind w:firstLine="1418"/>
        <w:jc w:val="both"/>
        <w:rPr>
          <w:rFonts w:ascii="Arial" w:hAnsi="Arial" w:cs="Arial"/>
          <w:b/>
          <w:sz w:val="20"/>
        </w:rPr>
      </w:pPr>
      <w:r w:rsidRPr="002A525F">
        <w:rPr>
          <w:rFonts w:ascii="Arial" w:hAnsi="Arial" w:cs="Arial"/>
          <w:b/>
          <w:sz w:val="20"/>
        </w:rPr>
        <w:sym w:font="Wingdings" w:char="F0D8"/>
      </w:r>
      <w:r w:rsidRPr="002A525F">
        <w:rPr>
          <w:rFonts w:ascii="Arial" w:hAnsi="Arial" w:cs="Arial"/>
          <w:b/>
          <w:sz w:val="20"/>
        </w:rPr>
        <w:t>Critérios Quantitativos</w:t>
      </w:r>
    </w:p>
    <w:p w:rsidR="00014027" w:rsidRPr="002A525F" w:rsidRDefault="00014027" w:rsidP="009672BC">
      <w:pPr>
        <w:numPr>
          <w:ilvl w:val="0"/>
          <w:numId w:val="22"/>
        </w:numPr>
        <w:tabs>
          <w:tab w:val="clear" w:pos="720"/>
        </w:tabs>
        <w:spacing w:after="60" w:line="312" w:lineRule="auto"/>
        <w:ind w:left="1701" w:hanging="283"/>
        <w:jc w:val="both"/>
        <w:rPr>
          <w:rFonts w:ascii="Arial" w:hAnsi="Arial" w:cs="Arial"/>
          <w:sz w:val="20"/>
        </w:rPr>
      </w:pPr>
      <w:r w:rsidRPr="002A525F">
        <w:rPr>
          <w:rFonts w:ascii="Arial" w:hAnsi="Arial" w:cs="Arial"/>
          <w:sz w:val="20"/>
        </w:rPr>
        <w:t>Desempenho (risco/retorno) dos produtos enquadrados na legislação vigente;</w:t>
      </w:r>
    </w:p>
    <w:p w:rsidR="00FC066E" w:rsidRPr="002A525F" w:rsidRDefault="00014027" w:rsidP="00472206">
      <w:pPr>
        <w:numPr>
          <w:ilvl w:val="0"/>
          <w:numId w:val="22"/>
        </w:numPr>
        <w:tabs>
          <w:tab w:val="clear" w:pos="720"/>
        </w:tabs>
        <w:spacing w:after="360" w:line="312" w:lineRule="auto"/>
        <w:ind w:left="1701" w:hanging="283"/>
        <w:jc w:val="both"/>
        <w:rPr>
          <w:rFonts w:ascii="Arial" w:hAnsi="Arial" w:cs="Arial"/>
          <w:sz w:val="20"/>
        </w:rPr>
      </w:pPr>
      <w:r w:rsidRPr="002A525F">
        <w:rPr>
          <w:rFonts w:ascii="Arial" w:hAnsi="Arial" w:cs="Arial"/>
          <w:sz w:val="20"/>
        </w:rPr>
        <w:t xml:space="preserve">Desempenho </w:t>
      </w:r>
      <w:r w:rsidR="00FC066E" w:rsidRPr="00891217">
        <w:rPr>
          <w:rFonts w:ascii="Arial" w:hAnsi="Arial" w:cs="Arial"/>
          <w:sz w:val="20"/>
        </w:rPr>
        <w:t>do</w:t>
      </w:r>
      <w:r w:rsidR="005752AF" w:rsidRPr="00891217">
        <w:rPr>
          <w:rFonts w:ascii="Arial" w:hAnsi="Arial" w:cs="Arial"/>
          <w:sz w:val="20"/>
        </w:rPr>
        <w:t>s produtos e d</w:t>
      </w:r>
      <w:r w:rsidR="005752AF" w:rsidRPr="005752AF">
        <w:rPr>
          <w:rFonts w:ascii="Arial" w:hAnsi="Arial" w:cs="Arial"/>
          <w:sz w:val="20"/>
        </w:rPr>
        <w:t>o</w:t>
      </w:r>
      <w:r w:rsidR="00FC066E">
        <w:rPr>
          <w:rFonts w:ascii="Arial" w:hAnsi="Arial" w:cs="Arial"/>
          <w:sz w:val="20"/>
        </w:rPr>
        <w:t xml:space="preserve"> gestor nos momentos de crise;</w:t>
      </w:r>
    </w:p>
    <w:p w:rsidR="00E830C3" w:rsidRDefault="00E830C3" w:rsidP="00472206">
      <w:pPr>
        <w:autoSpaceDE w:val="0"/>
        <w:autoSpaceDN w:val="0"/>
        <w:adjustRightInd w:val="0"/>
        <w:spacing w:after="120"/>
        <w:rPr>
          <w:rFonts w:ascii="Arial" w:hAnsi="Arial" w:cs="Arial"/>
          <w:b/>
          <w:bCs/>
          <w:smallCaps/>
          <w:sz w:val="20"/>
          <w:szCs w:val="20"/>
        </w:rPr>
      </w:pPr>
      <w:bookmarkStart w:id="20" w:name="_Toc184817251"/>
      <w:bookmarkEnd w:id="19"/>
    </w:p>
    <w:p w:rsidR="004149B3" w:rsidRDefault="00472206" w:rsidP="00472206">
      <w:pPr>
        <w:autoSpaceDE w:val="0"/>
        <w:autoSpaceDN w:val="0"/>
        <w:adjustRightInd w:val="0"/>
        <w:spacing w:after="120"/>
        <w:rPr>
          <w:rFonts w:ascii="Arial" w:hAnsi="Arial" w:cs="Arial"/>
          <w:b/>
          <w:smallCaps/>
          <w:sz w:val="20"/>
          <w:szCs w:val="20"/>
        </w:rPr>
      </w:pPr>
      <w:r w:rsidRPr="00472206">
        <w:rPr>
          <w:rFonts w:ascii="Arial" w:hAnsi="Arial" w:cs="Arial"/>
          <w:b/>
          <w:bCs/>
          <w:smallCaps/>
          <w:sz w:val="20"/>
          <w:szCs w:val="20"/>
        </w:rPr>
        <w:t xml:space="preserve">4.10. </w:t>
      </w:r>
      <w:r w:rsidR="004149B3" w:rsidRPr="00472206">
        <w:rPr>
          <w:rFonts w:ascii="Arial" w:hAnsi="Arial" w:cs="Arial"/>
          <w:b/>
          <w:smallCaps/>
          <w:sz w:val="20"/>
          <w:szCs w:val="20"/>
        </w:rPr>
        <w:t>P</w:t>
      </w:r>
      <w:r w:rsidRPr="00472206">
        <w:rPr>
          <w:rFonts w:ascii="Arial" w:hAnsi="Arial" w:cs="Arial"/>
          <w:b/>
          <w:smallCaps/>
          <w:sz w:val="20"/>
          <w:szCs w:val="20"/>
        </w:rPr>
        <w:t>ROCESSO DE AVALIAÇÃO</w:t>
      </w:r>
    </w:p>
    <w:bookmarkEnd w:id="20"/>
    <w:p w:rsidR="00B250F0" w:rsidRPr="00E55076" w:rsidRDefault="00B477B3" w:rsidP="00E830C3">
      <w:pPr>
        <w:spacing w:after="160" w:line="312" w:lineRule="auto"/>
        <w:ind w:firstLine="1418"/>
        <w:jc w:val="both"/>
        <w:rPr>
          <w:rFonts w:ascii="Arial" w:hAnsi="Arial" w:cs="Arial"/>
          <w:sz w:val="20"/>
          <w:szCs w:val="20"/>
        </w:rPr>
      </w:pPr>
      <w:r w:rsidRPr="00E55076">
        <w:rPr>
          <w:rFonts w:ascii="Arial" w:hAnsi="Arial" w:cs="Arial"/>
          <w:sz w:val="20"/>
          <w:szCs w:val="20"/>
        </w:rPr>
        <w:t>A</w:t>
      </w:r>
      <w:r w:rsidR="00B250F0" w:rsidRPr="00E55076">
        <w:rPr>
          <w:rFonts w:ascii="Arial" w:hAnsi="Arial" w:cs="Arial"/>
          <w:sz w:val="20"/>
          <w:szCs w:val="20"/>
        </w:rPr>
        <w:t>s instituições administradoras devem elaborar, no mínimo</w:t>
      </w:r>
      <w:r w:rsidR="005752AF">
        <w:rPr>
          <w:rFonts w:ascii="Arial" w:hAnsi="Arial" w:cs="Arial"/>
          <w:sz w:val="20"/>
          <w:szCs w:val="20"/>
        </w:rPr>
        <w:t>,</w:t>
      </w:r>
      <w:r w:rsidR="00B250F0" w:rsidRPr="00E55076">
        <w:rPr>
          <w:rFonts w:ascii="Arial" w:hAnsi="Arial" w:cs="Arial"/>
          <w:sz w:val="20"/>
          <w:szCs w:val="20"/>
        </w:rPr>
        <w:t xml:space="preserve"> mensalmente, relat</w:t>
      </w:r>
      <w:r w:rsidR="00891217">
        <w:rPr>
          <w:rFonts w:ascii="Arial" w:hAnsi="Arial" w:cs="Arial"/>
          <w:sz w:val="20"/>
          <w:szCs w:val="20"/>
        </w:rPr>
        <w:t>ó</w:t>
      </w:r>
      <w:r w:rsidR="00B250F0" w:rsidRPr="00E55076">
        <w:rPr>
          <w:rFonts w:ascii="Arial" w:hAnsi="Arial" w:cs="Arial"/>
          <w:sz w:val="20"/>
          <w:szCs w:val="20"/>
        </w:rPr>
        <w:t xml:space="preserve">rios detalhados das aplicações dos recursos em moeda corrente do </w:t>
      </w:r>
      <w:r w:rsidR="007958D5" w:rsidRPr="00E55076">
        <w:rPr>
          <w:rFonts w:ascii="Arial" w:hAnsi="Arial" w:cs="Arial"/>
          <w:sz w:val="20"/>
          <w:szCs w:val="20"/>
        </w:rPr>
        <w:t>R</w:t>
      </w:r>
      <w:r w:rsidR="00B250F0" w:rsidRPr="00E55076">
        <w:rPr>
          <w:rFonts w:ascii="Arial" w:hAnsi="Arial" w:cs="Arial"/>
          <w:sz w:val="20"/>
          <w:szCs w:val="20"/>
        </w:rPr>
        <w:t xml:space="preserve">egime </w:t>
      </w:r>
      <w:r w:rsidR="007958D5" w:rsidRPr="00E55076">
        <w:rPr>
          <w:rFonts w:ascii="Arial" w:hAnsi="Arial" w:cs="Arial"/>
          <w:sz w:val="20"/>
          <w:szCs w:val="20"/>
        </w:rPr>
        <w:t>P</w:t>
      </w:r>
      <w:r w:rsidR="00B250F0" w:rsidRPr="00E55076">
        <w:rPr>
          <w:rFonts w:ascii="Arial" w:hAnsi="Arial" w:cs="Arial"/>
          <w:sz w:val="20"/>
          <w:szCs w:val="20"/>
        </w:rPr>
        <w:t xml:space="preserve">róprio de </w:t>
      </w:r>
      <w:r w:rsidR="007958D5" w:rsidRPr="00E55076">
        <w:rPr>
          <w:rFonts w:ascii="Arial" w:hAnsi="Arial" w:cs="Arial"/>
          <w:sz w:val="20"/>
          <w:szCs w:val="20"/>
        </w:rPr>
        <w:t>P</w:t>
      </w:r>
      <w:r w:rsidR="00B250F0" w:rsidRPr="00E55076">
        <w:rPr>
          <w:rFonts w:ascii="Arial" w:hAnsi="Arial" w:cs="Arial"/>
          <w:sz w:val="20"/>
          <w:szCs w:val="20"/>
        </w:rPr>
        <w:t xml:space="preserve">revidência </w:t>
      </w:r>
      <w:r w:rsidR="007958D5" w:rsidRPr="00E55076">
        <w:rPr>
          <w:rFonts w:ascii="Arial" w:hAnsi="Arial" w:cs="Arial"/>
          <w:sz w:val="20"/>
          <w:szCs w:val="20"/>
        </w:rPr>
        <w:t>S</w:t>
      </w:r>
      <w:r w:rsidR="00B250F0" w:rsidRPr="00E55076">
        <w:rPr>
          <w:rFonts w:ascii="Arial" w:hAnsi="Arial" w:cs="Arial"/>
          <w:sz w:val="20"/>
          <w:szCs w:val="20"/>
        </w:rPr>
        <w:t>ocial. Tais relatórios devem conter informações sobre as rentabil</w:t>
      </w:r>
      <w:r w:rsidR="007B3CF9">
        <w:rPr>
          <w:rFonts w:ascii="Arial" w:hAnsi="Arial" w:cs="Arial"/>
          <w:sz w:val="20"/>
          <w:szCs w:val="20"/>
        </w:rPr>
        <w:t>idades das aplicações, bem como</w:t>
      </w:r>
      <w:r w:rsidR="00B250F0" w:rsidRPr="00E55076">
        <w:rPr>
          <w:rFonts w:ascii="Arial" w:hAnsi="Arial" w:cs="Arial"/>
          <w:sz w:val="20"/>
          <w:szCs w:val="20"/>
        </w:rPr>
        <w:t xml:space="preserve"> os riscos</w:t>
      </w:r>
      <w:r w:rsidR="007B3CF9">
        <w:rPr>
          <w:rFonts w:ascii="Arial" w:hAnsi="Arial" w:cs="Arial"/>
          <w:sz w:val="20"/>
          <w:szCs w:val="20"/>
        </w:rPr>
        <w:t xml:space="preserve"> que lhe são</w:t>
      </w:r>
      <w:r w:rsidR="00B250F0" w:rsidRPr="00E55076">
        <w:rPr>
          <w:rFonts w:ascii="Arial" w:hAnsi="Arial" w:cs="Arial"/>
          <w:sz w:val="20"/>
          <w:szCs w:val="20"/>
        </w:rPr>
        <w:t xml:space="preserve"> in</w:t>
      </w:r>
      <w:r w:rsidR="00D21BB7">
        <w:rPr>
          <w:rFonts w:ascii="Arial" w:hAnsi="Arial" w:cs="Arial"/>
          <w:sz w:val="20"/>
          <w:szCs w:val="20"/>
        </w:rPr>
        <w:t>erentes</w:t>
      </w:r>
      <w:r w:rsidR="00B250F0" w:rsidRPr="00E55076">
        <w:rPr>
          <w:rFonts w:ascii="Arial" w:hAnsi="Arial" w:cs="Arial"/>
          <w:sz w:val="20"/>
          <w:szCs w:val="20"/>
        </w:rPr>
        <w:t>.</w:t>
      </w:r>
    </w:p>
    <w:p w:rsidR="001D4042" w:rsidRDefault="00BF1A28" w:rsidP="00E830C3">
      <w:pPr>
        <w:autoSpaceDE w:val="0"/>
        <w:autoSpaceDN w:val="0"/>
        <w:adjustRightInd w:val="0"/>
        <w:spacing w:after="160" w:line="312" w:lineRule="auto"/>
        <w:ind w:firstLine="1418"/>
        <w:jc w:val="both"/>
        <w:rPr>
          <w:rFonts w:ascii="Arial" w:hAnsi="Arial" w:cs="Arial"/>
          <w:sz w:val="20"/>
          <w:szCs w:val="20"/>
        </w:rPr>
      </w:pPr>
      <w:r>
        <w:rPr>
          <w:rFonts w:ascii="Arial" w:hAnsi="Arial" w:cs="Arial"/>
          <w:sz w:val="20"/>
          <w:szCs w:val="20"/>
        </w:rPr>
        <w:t>O CIAP</w:t>
      </w:r>
      <w:r w:rsidR="007B3CF9">
        <w:rPr>
          <w:rFonts w:ascii="Arial" w:hAnsi="Arial" w:cs="Arial"/>
          <w:sz w:val="20"/>
          <w:szCs w:val="20"/>
        </w:rPr>
        <w:t>,</w:t>
      </w:r>
      <w:r>
        <w:rPr>
          <w:rFonts w:ascii="Arial" w:hAnsi="Arial" w:cs="Arial"/>
          <w:sz w:val="20"/>
          <w:szCs w:val="20"/>
        </w:rPr>
        <w:t xml:space="preserve"> em conjunto com a DIFAT</w:t>
      </w:r>
      <w:r w:rsidR="007B3CF9">
        <w:rPr>
          <w:rFonts w:ascii="Arial" w:hAnsi="Arial" w:cs="Arial"/>
          <w:sz w:val="20"/>
          <w:szCs w:val="20"/>
        </w:rPr>
        <w:t>,</w:t>
      </w:r>
      <w:r w:rsidR="00F26B75" w:rsidRPr="00CF0E68">
        <w:rPr>
          <w:rFonts w:ascii="Arial" w:hAnsi="Arial" w:cs="Arial"/>
          <w:sz w:val="20"/>
          <w:szCs w:val="20"/>
        </w:rPr>
        <w:t xml:space="preserve"> deve elaborar</w:t>
      </w:r>
      <w:r w:rsidR="00F26B75" w:rsidRPr="00F26B75">
        <w:rPr>
          <w:rFonts w:ascii="Arial" w:hAnsi="Arial" w:cs="Arial"/>
          <w:sz w:val="20"/>
          <w:szCs w:val="20"/>
        </w:rPr>
        <w:t xml:space="preserve"> relatórios </w:t>
      </w:r>
      <w:r w:rsidR="00D21BB7">
        <w:rPr>
          <w:rFonts w:ascii="Arial" w:hAnsi="Arial" w:cs="Arial"/>
          <w:sz w:val="20"/>
          <w:szCs w:val="20"/>
        </w:rPr>
        <w:t>mensais</w:t>
      </w:r>
      <w:r w:rsidR="00F26B75" w:rsidRPr="00F26B75">
        <w:rPr>
          <w:rFonts w:ascii="Arial" w:hAnsi="Arial" w:cs="Arial"/>
          <w:sz w:val="20"/>
          <w:szCs w:val="20"/>
        </w:rPr>
        <w:t xml:space="preserve"> detalhados, ao final de cada período a que se </w:t>
      </w:r>
      <w:r w:rsidR="007B7904" w:rsidRPr="00F26B75">
        <w:rPr>
          <w:rFonts w:ascii="Arial" w:hAnsi="Arial" w:cs="Arial"/>
          <w:sz w:val="20"/>
          <w:szCs w:val="20"/>
        </w:rPr>
        <w:t xml:space="preserve">referir, </w:t>
      </w:r>
      <w:r w:rsidR="007B3CF9">
        <w:rPr>
          <w:rFonts w:ascii="Arial" w:hAnsi="Arial" w:cs="Arial"/>
          <w:sz w:val="20"/>
          <w:szCs w:val="20"/>
        </w:rPr>
        <w:t xml:space="preserve">retratando </w:t>
      </w:r>
      <w:r w:rsidR="00F26B75" w:rsidRPr="00F26B75">
        <w:rPr>
          <w:rFonts w:ascii="Arial" w:hAnsi="Arial" w:cs="Arial"/>
          <w:sz w:val="20"/>
          <w:szCs w:val="20"/>
        </w:rPr>
        <w:t xml:space="preserve">a rentabilidade e risco das diversas modalidades de operações realizadas pelo </w:t>
      </w:r>
      <w:r w:rsidR="001F3DCA" w:rsidRPr="00CF0E68">
        <w:rPr>
          <w:rFonts w:ascii="Arial" w:hAnsi="Arial" w:cs="Arial"/>
          <w:sz w:val="20"/>
          <w:szCs w:val="20"/>
        </w:rPr>
        <w:t>Regime Próprio de Previdência Social</w:t>
      </w:r>
      <w:r w:rsidR="00F26B75" w:rsidRPr="00F26B75">
        <w:rPr>
          <w:rFonts w:ascii="Arial" w:hAnsi="Arial" w:cs="Arial"/>
          <w:sz w:val="20"/>
          <w:szCs w:val="20"/>
        </w:rPr>
        <w:t xml:space="preserve"> com títulos, valores mobiliários e demais ativos alocados nos segmentos de</w:t>
      </w:r>
      <w:r w:rsidR="00895FF5">
        <w:rPr>
          <w:rFonts w:ascii="Arial" w:hAnsi="Arial" w:cs="Arial"/>
          <w:sz w:val="20"/>
          <w:szCs w:val="20"/>
        </w:rPr>
        <w:t xml:space="preserve"> </w:t>
      </w:r>
      <w:r w:rsidR="00F26B75" w:rsidRPr="00F26B75">
        <w:rPr>
          <w:rFonts w:ascii="Arial" w:hAnsi="Arial" w:cs="Arial"/>
          <w:sz w:val="20"/>
          <w:szCs w:val="20"/>
        </w:rPr>
        <w:t xml:space="preserve">renda fixa, renda variável e </w:t>
      </w:r>
      <w:r w:rsidR="007B7904" w:rsidRPr="00F26B75">
        <w:rPr>
          <w:rFonts w:ascii="Arial" w:hAnsi="Arial" w:cs="Arial"/>
          <w:sz w:val="20"/>
          <w:szCs w:val="20"/>
        </w:rPr>
        <w:t>imóveis</w:t>
      </w:r>
      <w:r w:rsidR="007B7904">
        <w:rPr>
          <w:rFonts w:ascii="Arial" w:hAnsi="Arial" w:cs="Arial"/>
          <w:sz w:val="20"/>
          <w:szCs w:val="20"/>
        </w:rPr>
        <w:t xml:space="preserve">. </w:t>
      </w:r>
      <w:r w:rsidR="00CB230D">
        <w:rPr>
          <w:rFonts w:ascii="Arial" w:hAnsi="Arial" w:cs="Arial"/>
          <w:sz w:val="20"/>
          <w:szCs w:val="20"/>
        </w:rPr>
        <w:t>D</w:t>
      </w:r>
      <w:r w:rsidR="00B250F0" w:rsidRPr="00CF0E68">
        <w:rPr>
          <w:rFonts w:ascii="Arial" w:hAnsi="Arial" w:cs="Arial"/>
          <w:sz w:val="20"/>
          <w:szCs w:val="20"/>
        </w:rPr>
        <w:t xml:space="preserve">eve </w:t>
      </w:r>
      <w:r w:rsidR="00CB230D">
        <w:rPr>
          <w:rFonts w:ascii="Arial" w:hAnsi="Arial" w:cs="Arial"/>
          <w:sz w:val="20"/>
          <w:szCs w:val="20"/>
        </w:rPr>
        <w:t xml:space="preserve">ainda </w:t>
      </w:r>
      <w:r w:rsidR="001F3552" w:rsidRPr="00CF0E68">
        <w:rPr>
          <w:rFonts w:ascii="Arial" w:hAnsi="Arial" w:cs="Arial"/>
          <w:sz w:val="20"/>
          <w:szCs w:val="20"/>
        </w:rPr>
        <w:t>avalia</w:t>
      </w:r>
      <w:r w:rsidR="001D4042">
        <w:rPr>
          <w:rFonts w:ascii="Arial" w:hAnsi="Arial" w:cs="Arial"/>
          <w:sz w:val="20"/>
          <w:szCs w:val="20"/>
        </w:rPr>
        <w:t xml:space="preserve">r </w:t>
      </w:r>
      <w:r w:rsidR="001F3552" w:rsidRPr="00CF0E68">
        <w:rPr>
          <w:rFonts w:ascii="Arial" w:hAnsi="Arial" w:cs="Arial"/>
          <w:sz w:val="20"/>
          <w:szCs w:val="20"/>
        </w:rPr>
        <w:t xml:space="preserve">o desempenho das </w:t>
      </w:r>
      <w:r w:rsidR="007B3CF9">
        <w:rPr>
          <w:rFonts w:ascii="Arial" w:hAnsi="Arial" w:cs="Arial"/>
          <w:sz w:val="20"/>
          <w:szCs w:val="20"/>
        </w:rPr>
        <w:t>i</w:t>
      </w:r>
      <w:r w:rsidR="00B250F0" w:rsidRPr="00CF0E68">
        <w:rPr>
          <w:rFonts w:ascii="Arial" w:hAnsi="Arial" w:cs="Arial"/>
          <w:sz w:val="20"/>
          <w:szCs w:val="20"/>
        </w:rPr>
        <w:t>nstituições</w:t>
      </w:r>
      <w:r w:rsidR="00895FF5">
        <w:rPr>
          <w:rFonts w:ascii="Arial" w:hAnsi="Arial" w:cs="Arial"/>
          <w:sz w:val="20"/>
          <w:szCs w:val="20"/>
        </w:rPr>
        <w:t xml:space="preserve"> </w:t>
      </w:r>
      <w:r w:rsidR="007B3CF9">
        <w:rPr>
          <w:rFonts w:ascii="Arial" w:hAnsi="Arial" w:cs="Arial"/>
          <w:sz w:val="20"/>
          <w:szCs w:val="20"/>
        </w:rPr>
        <w:t>f</w:t>
      </w:r>
      <w:r w:rsidR="003E004E" w:rsidRPr="00CF0E68">
        <w:rPr>
          <w:rFonts w:ascii="Arial" w:hAnsi="Arial" w:cs="Arial"/>
          <w:sz w:val="20"/>
          <w:szCs w:val="20"/>
        </w:rPr>
        <w:t xml:space="preserve">inanceiras </w:t>
      </w:r>
      <w:r w:rsidR="00B250F0" w:rsidRPr="00CF0E68">
        <w:rPr>
          <w:rFonts w:ascii="Arial" w:hAnsi="Arial" w:cs="Arial"/>
          <w:sz w:val="20"/>
          <w:szCs w:val="20"/>
        </w:rPr>
        <w:t>administradoras/gestoras</w:t>
      </w:r>
      <w:r w:rsidR="00973AC7" w:rsidRPr="00CF0E68">
        <w:rPr>
          <w:rFonts w:ascii="Arial" w:hAnsi="Arial" w:cs="Arial"/>
          <w:sz w:val="20"/>
          <w:szCs w:val="20"/>
        </w:rPr>
        <w:t xml:space="preserve"> de recursos</w:t>
      </w:r>
      <w:r w:rsidR="0034258D">
        <w:rPr>
          <w:rFonts w:ascii="Arial" w:hAnsi="Arial" w:cs="Arial"/>
          <w:sz w:val="20"/>
          <w:szCs w:val="20"/>
        </w:rPr>
        <w:t xml:space="preserve">, </w:t>
      </w:r>
      <w:r w:rsidR="00DF1D24">
        <w:rPr>
          <w:rFonts w:ascii="Arial" w:hAnsi="Arial" w:cs="Arial"/>
          <w:sz w:val="20"/>
          <w:szCs w:val="20"/>
        </w:rPr>
        <w:t>abordando</w:t>
      </w:r>
      <w:r w:rsidR="00BC2B92" w:rsidRPr="00CF0E68">
        <w:rPr>
          <w:rFonts w:ascii="Arial" w:hAnsi="Arial" w:cs="Arial"/>
          <w:sz w:val="20"/>
          <w:szCs w:val="20"/>
        </w:rPr>
        <w:t xml:space="preserve"> medidas de risco e de retorno</w:t>
      </w:r>
      <w:r w:rsidR="00ED6049">
        <w:rPr>
          <w:rFonts w:ascii="Arial" w:hAnsi="Arial" w:cs="Arial"/>
          <w:sz w:val="20"/>
          <w:szCs w:val="20"/>
        </w:rPr>
        <w:t xml:space="preserve"> definidos nesta política</w:t>
      </w:r>
      <w:r w:rsidR="00C95723" w:rsidRPr="00CF0E68">
        <w:rPr>
          <w:rFonts w:ascii="Arial" w:hAnsi="Arial" w:cs="Arial"/>
          <w:sz w:val="20"/>
          <w:szCs w:val="20"/>
        </w:rPr>
        <w:t>.</w:t>
      </w:r>
    </w:p>
    <w:p w:rsidR="00966BB3" w:rsidRDefault="0034258D" w:rsidP="00E830C3">
      <w:pPr>
        <w:autoSpaceDE w:val="0"/>
        <w:autoSpaceDN w:val="0"/>
        <w:adjustRightInd w:val="0"/>
        <w:spacing w:after="160" w:line="312" w:lineRule="auto"/>
        <w:ind w:firstLine="1418"/>
        <w:jc w:val="both"/>
        <w:rPr>
          <w:rFonts w:ascii="Arial" w:hAnsi="Arial" w:cs="Arial"/>
          <w:sz w:val="20"/>
          <w:szCs w:val="20"/>
        </w:rPr>
      </w:pPr>
      <w:r>
        <w:rPr>
          <w:rFonts w:ascii="Arial" w:hAnsi="Arial" w:cs="Arial"/>
          <w:sz w:val="20"/>
          <w:szCs w:val="20"/>
        </w:rPr>
        <w:t>Na avaliação de desempenho das instituições financeiras, bem como dos fundos de investimentos, o CIAP deverá realizar</w:t>
      </w:r>
      <w:r w:rsidR="007B3CF9">
        <w:rPr>
          <w:rFonts w:ascii="Arial" w:hAnsi="Arial" w:cs="Arial"/>
          <w:sz w:val="20"/>
          <w:szCs w:val="20"/>
        </w:rPr>
        <w:t>,</w:t>
      </w:r>
      <w:r>
        <w:rPr>
          <w:rFonts w:ascii="Arial" w:hAnsi="Arial" w:cs="Arial"/>
          <w:sz w:val="20"/>
          <w:szCs w:val="20"/>
        </w:rPr>
        <w:t xml:space="preserve"> no mínimo, uma reunião semestral nas sedes das instituições, objet</w:t>
      </w:r>
      <w:r w:rsidR="00966BB3">
        <w:rPr>
          <w:rFonts w:ascii="Arial" w:hAnsi="Arial" w:cs="Arial"/>
          <w:sz w:val="20"/>
          <w:szCs w:val="20"/>
        </w:rPr>
        <w:t xml:space="preserve">ivando dialogar com economistas, gestores e administradores dos fundos que compõem a carteira da AMPREV, avaliando também sua estrutura física, técnica e operacional. </w:t>
      </w:r>
    </w:p>
    <w:p w:rsidR="001D4042" w:rsidRDefault="001D4042" w:rsidP="00E830C3">
      <w:pPr>
        <w:autoSpaceDE w:val="0"/>
        <w:autoSpaceDN w:val="0"/>
        <w:adjustRightInd w:val="0"/>
        <w:spacing w:after="160" w:line="312" w:lineRule="auto"/>
        <w:ind w:firstLine="1418"/>
        <w:jc w:val="both"/>
        <w:rPr>
          <w:rFonts w:ascii="Arial" w:hAnsi="Arial" w:cs="Arial"/>
          <w:sz w:val="20"/>
          <w:szCs w:val="20"/>
        </w:rPr>
      </w:pPr>
      <w:r>
        <w:rPr>
          <w:rFonts w:ascii="Arial" w:hAnsi="Arial" w:cs="Arial"/>
          <w:sz w:val="20"/>
          <w:szCs w:val="20"/>
        </w:rPr>
        <w:t xml:space="preserve">Na avaliação das carteiras administradas e fundos de renda fixa e </w:t>
      </w:r>
      <w:r w:rsidR="007B7904">
        <w:rPr>
          <w:rFonts w:ascii="Arial" w:hAnsi="Arial" w:cs="Arial"/>
          <w:sz w:val="20"/>
          <w:szCs w:val="20"/>
        </w:rPr>
        <w:t xml:space="preserve">variável, </w:t>
      </w:r>
      <w:r w:rsidR="00F5546A">
        <w:rPr>
          <w:rFonts w:ascii="Arial" w:hAnsi="Arial" w:cs="Arial"/>
          <w:sz w:val="20"/>
          <w:szCs w:val="20"/>
        </w:rPr>
        <w:t>deverão ser observadas</w:t>
      </w:r>
      <w:r>
        <w:rPr>
          <w:rFonts w:ascii="Arial" w:hAnsi="Arial" w:cs="Arial"/>
          <w:sz w:val="20"/>
          <w:szCs w:val="20"/>
        </w:rPr>
        <w:t xml:space="preserve">, em caso de perda patrimonial superior a </w:t>
      </w:r>
      <w:r w:rsidR="001A3AF4">
        <w:rPr>
          <w:rFonts w:ascii="Arial" w:hAnsi="Arial" w:cs="Arial"/>
          <w:sz w:val="20"/>
          <w:szCs w:val="20"/>
        </w:rPr>
        <w:t>1</w:t>
      </w:r>
      <w:r>
        <w:rPr>
          <w:rFonts w:ascii="Arial" w:hAnsi="Arial" w:cs="Arial"/>
          <w:sz w:val="20"/>
          <w:szCs w:val="20"/>
        </w:rPr>
        <w:t>0% (</w:t>
      </w:r>
      <w:r w:rsidR="001A3AF4">
        <w:rPr>
          <w:rFonts w:ascii="Arial" w:hAnsi="Arial" w:cs="Arial"/>
          <w:sz w:val="20"/>
          <w:szCs w:val="20"/>
        </w:rPr>
        <w:t>dez</w:t>
      </w:r>
      <w:r>
        <w:rPr>
          <w:rFonts w:ascii="Arial" w:hAnsi="Arial" w:cs="Arial"/>
          <w:sz w:val="20"/>
          <w:szCs w:val="20"/>
        </w:rPr>
        <w:t xml:space="preserve"> por cento) do valor </w:t>
      </w:r>
      <w:r w:rsidR="00464244">
        <w:rPr>
          <w:rFonts w:ascii="Arial" w:hAnsi="Arial" w:cs="Arial"/>
          <w:sz w:val="20"/>
          <w:szCs w:val="20"/>
        </w:rPr>
        <w:t>da</w:t>
      </w:r>
      <w:r>
        <w:rPr>
          <w:rFonts w:ascii="Arial" w:hAnsi="Arial" w:cs="Arial"/>
          <w:sz w:val="20"/>
          <w:szCs w:val="20"/>
        </w:rPr>
        <w:t xml:space="preserve"> apli</w:t>
      </w:r>
      <w:r>
        <w:rPr>
          <w:rFonts w:ascii="Arial" w:hAnsi="Arial" w:cs="Arial"/>
          <w:sz w:val="20"/>
          <w:szCs w:val="20"/>
        </w:rPr>
        <w:lastRenderedPageBreak/>
        <w:t>cação, estratégias de gestão que visem proteger os recursos financeiros da AMPREV</w:t>
      </w:r>
      <w:r w:rsidR="001A3AF4">
        <w:rPr>
          <w:rFonts w:ascii="Arial" w:hAnsi="Arial" w:cs="Arial"/>
          <w:sz w:val="20"/>
          <w:szCs w:val="20"/>
        </w:rPr>
        <w:t>, entre as quais:</w:t>
      </w:r>
    </w:p>
    <w:p w:rsidR="001A3AF4" w:rsidRDefault="001A3AF4" w:rsidP="00E830C3">
      <w:pPr>
        <w:numPr>
          <w:ilvl w:val="0"/>
          <w:numId w:val="22"/>
        </w:numPr>
        <w:tabs>
          <w:tab w:val="clear" w:pos="720"/>
        </w:tabs>
        <w:autoSpaceDE w:val="0"/>
        <w:autoSpaceDN w:val="0"/>
        <w:adjustRightInd w:val="0"/>
        <w:spacing w:after="160" w:line="312" w:lineRule="auto"/>
        <w:ind w:left="1701" w:hanging="283"/>
        <w:jc w:val="both"/>
        <w:rPr>
          <w:rFonts w:ascii="Arial" w:hAnsi="Arial" w:cs="Arial"/>
          <w:sz w:val="20"/>
          <w:szCs w:val="20"/>
        </w:rPr>
      </w:pPr>
      <w:r>
        <w:rPr>
          <w:rFonts w:ascii="Arial" w:hAnsi="Arial" w:cs="Arial"/>
          <w:sz w:val="20"/>
          <w:szCs w:val="20"/>
        </w:rPr>
        <w:t>Realocação do recurso para outro fundo do mesm</w:t>
      </w:r>
      <w:r w:rsidR="00B96394">
        <w:rPr>
          <w:rFonts w:ascii="Arial" w:hAnsi="Arial" w:cs="Arial"/>
          <w:sz w:val="20"/>
          <w:szCs w:val="20"/>
        </w:rPr>
        <w:t>o segmento de investimento,</w:t>
      </w:r>
      <w:r w:rsidR="007B7904">
        <w:rPr>
          <w:rFonts w:ascii="Arial" w:hAnsi="Arial" w:cs="Arial"/>
          <w:sz w:val="20"/>
          <w:szCs w:val="20"/>
        </w:rPr>
        <w:t xml:space="preserve"> </w:t>
      </w:r>
      <w:r w:rsidR="00B96394">
        <w:rPr>
          <w:rFonts w:ascii="Arial" w:hAnsi="Arial" w:cs="Arial"/>
          <w:sz w:val="20"/>
          <w:szCs w:val="20"/>
        </w:rPr>
        <w:t>ou de outro segmento</w:t>
      </w:r>
      <w:r w:rsidR="007C4B51">
        <w:rPr>
          <w:rFonts w:ascii="Arial" w:hAnsi="Arial" w:cs="Arial"/>
          <w:sz w:val="20"/>
          <w:szCs w:val="20"/>
        </w:rPr>
        <w:t>;</w:t>
      </w:r>
    </w:p>
    <w:p w:rsidR="001269F5" w:rsidRDefault="001A3AF4" w:rsidP="00E830C3">
      <w:pPr>
        <w:numPr>
          <w:ilvl w:val="0"/>
          <w:numId w:val="22"/>
        </w:numPr>
        <w:tabs>
          <w:tab w:val="clear" w:pos="720"/>
        </w:tabs>
        <w:autoSpaceDE w:val="0"/>
        <w:autoSpaceDN w:val="0"/>
        <w:adjustRightInd w:val="0"/>
        <w:spacing w:after="160" w:line="312" w:lineRule="auto"/>
        <w:ind w:left="1701" w:hanging="283"/>
        <w:jc w:val="both"/>
        <w:rPr>
          <w:rFonts w:ascii="Arial" w:hAnsi="Arial" w:cs="Arial"/>
          <w:sz w:val="20"/>
          <w:szCs w:val="20"/>
        </w:rPr>
      </w:pPr>
      <w:r w:rsidRPr="001269F5">
        <w:rPr>
          <w:rFonts w:ascii="Arial" w:hAnsi="Arial" w:cs="Arial"/>
          <w:sz w:val="20"/>
          <w:szCs w:val="20"/>
        </w:rPr>
        <w:t xml:space="preserve">Aquisição de cotas do mesmo fundo </w:t>
      </w:r>
      <w:r w:rsidR="00464244" w:rsidRPr="001269F5">
        <w:rPr>
          <w:rFonts w:ascii="Arial" w:hAnsi="Arial" w:cs="Arial"/>
          <w:sz w:val="20"/>
          <w:szCs w:val="20"/>
        </w:rPr>
        <w:t xml:space="preserve">(nova aplicação) </w:t>
      </w:r>
      <w:r w:rsidRPr="001269F5">
        <w:rPr>
          <w:rFonts w:ascii="Arial" w:hAnsi="Arial" w:cs="Arial"/>
          <w:sz w:val="20"/>
          <w:szCs w:val="20"/>
        </w:rPr>
        <w:t>objetivando formar o preço médio superior ao valor da cota adquirida;</w:t>
      </w:r>
    </w:p>
    <w:p w:rsidR="001A3AF4" w:rsidRPr="00891217" w:rsidRDefault="00464244" w:rsidP="00E830C3">
      <w:pPr>
        <w:numPr>
          <w:ilvl w:val="0"/>
          <w:numId w:val="22"/>
        </w:numPr>
        <w:tabs>
          <w:tab w:val="clear" w:pos="720"/>
        </w:tabs>
        <w:autoSpaceDE w:val="0"/>
        <w:autoSpaceDN w:val="0"/>
        <w:adjustRightInd w:val="0"/>
        <w:spacing w:after="160" w:line="312" w:lineRule="auto"/>
        <w:ind w:left="1701" w:hanging="283"/>
        <w:jc w:val="both"/>
        <w:rPr>
          <w:rFonts w:ascii="Arial" w:hAnsi="Arial" w:cs="Arial"/>
          <w:sz w:val="20"/>
          <w:szCs w:val="20"/>
        </w:rPr>
      </w:pPr>
      <w:r w:rsidRPr="00891217">
        <w:rPr>
          <w:rFonts w:ascii="Arial" w:hAnsi="Arial" w:cs="Arial"/>
          <w:sz w:val="20"/>
          <w:szCs w:val="20"/>
        </w:rPr>
        <w:t>Demais estratégias que visem o retorno da aplicação à rentabilidade da meta atuarial.</w:t>
      </w:r>
    </w:p>
    <w:p w:rsidR="00464244" w:rsidRPr="00891217" w:rsidRDefault="001269F5" w:rsidP="00E830C3">
      <w:pPr>
        <w:autoSpaceDE w:val="0"/>
        <w:autoSpaceDN w:val="0"/>
        <w:adjustRightInd w:val="0"/>
        <w:spacing w:after="160" w:line="312" w:lineRule="auto"/>
        <w:ind w:firstLine="1418"/>
        <w:jc w:val="both"/>
        <w:rPr>
          <w:rFonts w:ascii="Arial" w:hAnsi="Arial" w:cs="Arial"/>
          <w:sz w:val="20"/>
          <w:szCs w:val="20"/>
        </w:rPr>
      </w:pPr>
      <w:r w:rsidRPr="00891217">
        <w:rPr>
          <w:rFonts w:ascii="Arial" w:hAnsi="Arial" w:cs="Arial"/>
          <w:sz w:val="20"/>
          <w:szCs w:val="20"/>
        </w:rPr>
        <w:t xml:space="preserve">Na avaliação dos fundos, haverá </w:t>
      </w:r>
      <w:r w:rsidR="00464244" w:rsidRPr="00891217">
        <w:rPr>
          <w:rFonts w:ascii="Arial" w:hAnsi="Arial" w:cs="Arial"/>
          <w:sz w:val="20"/>
          <w:szCs w:val="20"/>
        </w:rPr>
        <w:t xml:space="preserve">exceção </w:t>
      </w:r>
      <w:r w:rsidRPr="00891217">
        <w:rPr>
          <w:rFonts w:ascii="Arial" w:hAnsi="Arial" w:cs="Arial"/>
          <w:sz w:val="20"/>
          <w:szCs w:val="20"/>
        </w:rPr>
        <w:t>ao</w:t>
      </w:r>
      <w:r w:rsidR="00464244" w:rsidRPr="00891217">
        <w:rPr>
          <w:rFonts w:ascii="Arial" w:hAnsi="Arial" w:cs="Arial"/>
          <w:sz w:val="20"/>
          <w:szCs w:val="20"/>
        </w:rPr>
        <w:t>s Fundos de Investimento em Participação</w:t>
      </w:r>
      <w:r w:rsidR="007C4B51" w:rsidRPr="00891217">
        <w:rPr>
          <w:rFonts w:ascii="Arial" w:hAnsi="Arial" w:cs="Arial"/>
          <w:sz w:val="20"/>
          <w:szCs w:val="20"/>
        </w:rPr>
        <w:t xml:space="preserve"> (FIP)</w:t>
      </w:r>
      <w:r w:rsidR="00464244" w:rsidRPr="00891217">
        <w:rPr>
          <w:rFonts w:ascii="Arial" w:hAnsi="Arial" w:cs="Arial"/>
          <w:sz w:val="20"/>
          <w:szCs w:val="20"/>
        </w:rPr>
        <w:t xml:space="preserve"> em relação ao período de </w:t>
      </w:r>
      <w:r w:rsidR="007C4B51" w:rsidRPr="00891217">
        <w:rPr>
          <w:rFonts w:ascii="Arial" w:hAnsi="Arial" w:cs="Arial"/>
          <w:sz w:val="20"/>
          <w:szCs w:val="20"/>
        </w:rPr>
        <w:t>aplicação</w:t>
      </w:r>
      <w:r w:rsidR="00464244" w:rsidRPr="00891217">
        <w:rPr>
          <w:rFonts w:ascii="Arial" w:hAnsi="Arial" w:cs="Arial"/>
          <w:sz w:val="20"/>
          <w:szCs w:val="20"/>
        </w:rPr>
        <w:t xml:space="preserve">, </w:t>
      </w:r>
      <w:r w:rsidRPr="00891217">
        <w:rPr>
          <w:rFonts w:ascii="Arial" w:hAnsi="Arial" w:cs="Arial"/>
          <w:sz w:val="20"/>
          <w:szCs w:val="20"/>
        </w:rPr>
        <w:t>tendo em vista que estes sofrem desvalorização de cota (curva “J”)</w:t>
      </w:r>
      <w:r w:rsidR="007E640A" w:rsidRPr="00891217">
        <w:rPr>
          <w:rFonts w:ascii="Arial" w:hAnsi="Arial" w:cs="Arial"/>
          <w:sz w:val="20"/>
          <w:szCs w:val="20"/>
        </w:rPr>
        <w:t xml:space="preserve"> no período de investimento</w:t>
      </w:r>
      <w:r w:rsidRPr="00891217">
        <w:rPr>
          <w:rFonts w:ascii="Arial" w:hAnsi="Arial" w:cs="Arial"/>
          <w:sz w:val="20"/>
          <w:szCs w:val="20"/>
        </w:rPr>
        <w:t>, como uma característica inerente a este tipo</w:t>
      </w:r>
      <w:r w:rsidR="006811DE" w:rsidRPr="00891217">
        <w:rPr>
          <w:rFonts w:ascii="Arial" w:hAnsi="Arial" w:cs="Arial"/>
          <w:sz w:val="20"/>
          <w:szCs w:val="20"/>
        </w:rPr>
        <w:t xml:space="preserve"> de</w:t>
      </w:r>
      <w:r w:rsidRPr="00891217">
        <w:rPr>
          <w:rFonts w:ascii="Arial" w:hAnsi="Arial" w:cs="Arial"/>
          <w:sz w:val="20"/>
          <w:szCs w:val="20"/>
        </w:rPr>
        <w:t xml:space="preserve"> fundo, que pode exceder o limite acima estabelecido.</w:t>
      </w:r>
    </w:p>
    <w:p w:rsidR="00E830C3" w:rsidRDefault="001D4042" w:rsidP="00E830C3">
      <w:pPr>
        <w:spacing w:after="160" w:line="312" w:lineRule="auto"/>
        <w:ind w:firstLine="1418"/>
        <w:jc w:val="both"/>
        <w:rPr>
          <w:rFonts w:ascii="Arial" w:hAnsi="Arial" w:cs="Arial"/>
          <w:sz w:val="20"/>
          <w:szCs w:val="20"/>
        </w:rPr>
      </w:pPr>
      <w:r w:rsidRPr="00891217">
        <w:rPr>
          <w:rFonts w:ascii="Arial" w:hAnsi="Arial" w:cs="Arial"/>
          <w:sz w:val="20"/>
          <w:szCs w:val="20"/>
        </w:rPr>
        <w:t>A AMPREV</w:t>
      </w:r>
      <w:r w:rsidR="00B250F0" w:rsidRPr="00891217">
        <w:rPr>
          <w:rFonts w:ascii="Arial" w:hAnsi="Arial" w:cs="Arial"/>
          <w:sz w:val="20"/>
          <w:szCs w:val="20"/>
        </w:rPr>
        <w:t xml:space="preserve"> poder</w:t>
      </w:r>
      <w:r w:rsidRPr="00891217">
        <w:rPr>
          <w:rFonts w:ascii="Arial" w:hAnsi="Arial" w:cs="Arial"/>
          <w:sz w:val="20"/>
          <w:szCs w:val="20"/>
        </w:rPr>
        <w:t xml:space="preserve">á </w:t>
      </w:r>
      <w:r w:rsidR="00B250F0" w:rsidRPr="00891217">
        <w:rPr>
          <w:rFonts w:ascii="Arial" w:hAnsi="Arial" w:cs="Arial"/>
          <w:sz w:val="20"/>
          <w:szCs w:val="20"/>
        </w:rPr>
        <w:t xml:space="preserve">rescindir o contrato de administração, no caso de carteiras administradas ou efetuar </w:t>
      </w:r>
      <w:r w:rsidR="007E640A" w:rsidRPr="00891217">
        <w:rPr>
          <w:rFonts w:ascii="Arial" w:hAnsi="Arial" w:cs="Arial"/>
          <w:sz w:val="20"/>
          <w:szCs w:val="20"/>
        </w:rPr>
        <w:t>resgate</w:t>
      </w:r>
      <w:r w:rsidR="00B250F0" w:rsidRPr="00891217">
        <w:rPr>
          <w:rFonts w:ascii="Arial" w:hAnsi="Arial" w:cs="Arial"/>
          <w:sz w:val="20"/>
          <w:szCs w:val="20"/>
        </w:rPr>
        <w:t xml:space="preserve"> (total ou parcial) no caso dos fundos de investimento, quando observad</w:t>
      </w:r>
      <w:r w:rsidR="00B5260C" w:rsidRPr="00891217">
        <w:rPr>
          <w:rFonts w:ascii="Arial" w:hAnsi="Arial" w:cs="Arial"/>
          <w:sz w:val="20"/>
          <w:szCs w:val="20"/>
        </w:rPr>
        <w:t>o</w:t>
      </w:r>
      <w:r w:rsidR="00895FF5">
        <w:rPr>
          <w:rFonts w:ascii="Arial" w:hAnsi="Arial" w:cs="Arial"/>
          <w:sz w:val="20"/>
          <w:szCs w:val="20"/>
        </w:rPr>
        <w:t xml:space="preserve"> </w:t>
      </w:r>
      <w:r w:rsidR="00B5260C" w:rsidRPr="00891217">
        <w:rPr>
          <w:rFonts w:ascii="Arial" w:hAnsi="Arial" w:cs="Arial"/>
          <w:sz w:val="20"/>
          <w:szCs w:val="20"/>
        </w:rPr>
        <w:t>desempenho</w:t>
      </w:r>
      <w:r w:rsidR="00B250F0" w:rsidRPr="00891217">
        <w:rPr>
          <w:rFonts w:ascii="Arial" w:hAnsi="Arial" w:cs="Arial"/>
          <w:sz w:val="20"/>
          <w:szCs w:val="20"/>
        </w:rPr>
        <w:t xml:space="preserve"> insatisfatóri</w:t>
      </w:r>
      <w:r w:rsidR="00B5260C" w:rsidRPr="00891217">
        <w:rPr>
          <w:rFonts w:ascii="Arial" w:hAnsi="Arial" w:cs="Arial"/>
          <w:sz w:val="20"/>
          <w:szCs w:val="20"/>
        </w:rPr>
        <w:t>o</w:t>
      </w:r>
      <w:r w:rsidR="00895FF5">
        <w:rPr>
          <w:rFonts w:ascii="Arial" w:hAnsi="Arial" w:cs="Arial"/>
          <w:sz w:val="20"/>
          <w:szCs w:val="20"/>
        </w:rPr>
        <w:t xml:space="preserve"> </w:t>
      </w:r>
      <w:r w:rsidR="003E004E" w:rsidRPr="00891217">
        <w:rPr>
          <w:rFonts w:ascii="Arial" w:hAnsi="Arial" w:cs="Arial"/>
          <w:sz w:val="20"/>
          <w:szCs w:val="20"/>
        </w:rPr>
        <w:t>conforme</w:t>
      </w:r>
      <w:r w:rsidR="003E004E" w:rsidRPr="00CF0E68">
        <w:rPr>
          <w:rFonts w:ascii="Arial" w:hAnsi="Arial" w:cs="Arial"/>
          <w:sz w:val="20"/>
          <w:szCs w:val="20"/>
        </w:rPr>
        <w:t xml:space="preserve"> a</w:t>
      </w:r>
      <w:r w:rsidR="00E830C3">
        <w:rPr>
          <w:rFonts w:ascii="Arial" w:hAnsi="Arial" w:cs="Arial"/>
          <w:sz w:val="20"/>
          <w:szCs w:val="20"/>
        </w:rPr>
        <w:t xml:space="preserve"> seguir</w:t>
      </w:r>
      <w:r w:rsidR="003E004E" w:rsidRPr="00CF0E68">
        <w:rPr>
          <w:rFonts w:ascii="Arial" w:hAnsi="Arial" w:cs="Arial"/>
          <w:sz w:val="20"/>
          <w:szCs w:val="20"/>
        </w:rPr>
        <w:t>:</w:t>
      </w:r>
    </w:p>
    <w:tbl>
      <w:tblPr>
        <w:tblW w:w="0" w:type="auto"/>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ook w:val="01E0" w:firstRow="1" w:lastRow="1" w:firstColumn="1" w:lastColumn="1" w:noHBand="0" w:noVBand="0"/>
      </w:tblPr>
      <w:tblGrid>
        <w:gridCol w:w="4252"/>
        <w:gridCol w:w="1543"/>
        <w:gridCol w:w="1284"/>
        <w:gridCol w:w="1818"/>
      </w:tblGrid>
      <w:tr w:rsidR="00ED6049" w:rsidRPr="00DB26F9" w:rsidTr="00E830C3">
        <w:trPr>
          <w:trHeight w:val="505"/>
        </w:trPr>
        <w:tc>
          <w:tcPr>
            <w:tcW w:w="4252" w:type="dxa"/>
            <w:tcBorders>
              <w:top w:val="threeDEmboss" w:sz="12" w:space="0" w:color="auto"/>
              <w:bottom w:val="single" w:sz="12" w:space="0" w:color="auto"/>
              <w:right w:val="single" w:sz="4" w:space="0" w:color="auto"/>
            </w:tcBorders>
            <w:shd w:val="clear" w:color="auto" w:fill="D6E3BC"/>
            <w:vAlign w:val="center"/>
          </w:tcPr>
          <w:p w:rsidR="0027460B" w:rsidRPr="00DB26F9" w:rsidRDefault="0027460B" w:rsidP="00DB26F9">
            <w:pPr>
              <w:autoSpaceDE w:val="0"/>
              <w:autoSpaceDN w:val="0"/>
              <w:adjustRightInd w:val="0"/>
              <w:jc w:val="center"/>
              <w:rPr>
                <w:rFonts w:ascii="Arial" w:hAnsi="Arial" w:cs="Arial"/>
                <w:b/>
                <w:sz w:val="16"/>
                <w:szCs w:val="16"/>
              </w:rPr>
            </w:pPr>
            <w:bookmarkStart w:id="21" w:name="_Toc184817252"/>
            <w:r w:rsidRPr="00DB26F9">
              <w:rPr>
                <w:rFonts w:ascii="Arial" w:hAnsi="Arial" w:cs="Arial"/>
                <w:b/>
                <w:sz w:val="16"/>
                <w:szCs w:val="16"/>
              </w:rPr>
              <w:t>Segmento de Renda Fixa</w:t>
            </w:r>
          </w:p>
        </w:tc>
        <w:tc>
          <w:tcPr>
            <w:tcW w:w="1543" w:type="dxa"/>
            <w:tcBorders>
              <w:top w:val="threeDEmboss" w:sz="12" w:space="0" w:color="auto"/>
              <w:left w:val="single" w:sz="4" w:space="0" w:color="auto"/>
              <w:bottom w:val="single" w:sz="12" w:space="0" w:color="auto"/>
              <w:right w:val="single" w:sz="4" w:space="0" w:color="auto"/>
            </w:tcBorders>
            <w:shd w:val="clear" w:color="auto" w:fill="D6E3BC"/>
            <w:vAlign w:val="center"/>
          </w:tcPr>
          <w:p w:rsidR="00ED6049" w:rsidRPr="00DB26F9" w:rsidRDefault="00ED6049" w:rsidP="00DB26F9">
            <w:pPr>
              <w:autoSpaceDE w:val="0"/>
              <w:autoSpaceDN w:val="0"/>
              <w:adjustRightInd w:val="0"/>
              <w:jc w:val="center"/>
              <w:rPr>
                <w:rFonts w:ascii="Arial" w:hAnsi="Arial" w:cs="Arial"/>
                <w:b/>
                <w:sz w:val="16"/>
                <w:szCs w:val="16"/>
              </w:rPr>
            </w:pPr>
            <w:r w:rsidRPr="00DB26F9">
              <w:rPr>
                <w:rFonts w:ascii="Arial" w:hAnsi="Arial" w:cs="Arial"/>
                <w:b/>
                <w:sz w:val="16"/>
                <w:szCs w:val="16"/>
              </w:rPr>
              <w:t>Período de</w:t>
            </w:r>
          </w:p>
          <w:p w:rsidR="00ED6049" w:rsidRPr="00DB26F9" w:rsidRDefault="00ED6049" w:rsidP="00DB26F9">
            <w:pPr>
              <w:autoSpaceDE w:val="0"/>
              <w:autoSpaceDN w:val="0"/>
              <w:adjustRightInd w:val="0"/>
              <w:jc w:val="center"/>
              <w:rPr>
                <w:rFonts w:ascii="Arial" w:hAnsi="Arial" w:cs="Arial"/>
                <w:b/>
                <w:sz w:val="16"/>
                <w:szCs w:val="16"/>
              </w:rPr>
            </w:pPr>
            <w:r w:rsidRPr="00DB26F9">
              <w:rPr>
                <w:rFonts w:ascii="Arial" w:hAnsi="Arial" w:cs="Arial"/>
                <w:b/>
                <w:sz w:val="16"/>
                <w:szCs w:val="16"/>
              </w:rPr>
              <w:t>Avaliação</w:t>
            </w:r>
          </w:p>
        </w:tc>
        <w:tc>
          <w:tcPr>
            <w:tcW w:w="1284" w:type="dxa"/>
            <w:tcBorders>
              <w:top w:val="threeDEmboss" w:sz="12" w:space="0" w:color="auto"/>
              <w:left w:val="single" w:sz="4" w:space="0" w:color="auto"/>
              <w:bottom w:val="single" w:sz="12" w:space="0" w:color="auto"/>
            </w:tcBorders>
            <w:shd w:val="clear" w:color="auto" w:fill="D6E3BC"/>
            <w:vAlign w:val="center"/>
          </w:tcPr>
          <w:p w:rsidR="00ED6049" w:rsidRPr="00DB26F9" w:rsidRDefault="00ED6049" w:rsidP="00DB26F9">
            <w:pPr>
              <w:autoSpaceDE w:val="0"/>
              <w:autoSpaceDN w:val="0"/>
              <w:adjustRightInd w:val="0"/>
              <w:jc w:val="center"/>
              <w:rPr>
                <w:rFonts w:ascii="Arial" w:hAnsi="Arial" w:cs="Arial"/>
                <w:b/>
                <w:sz w:val="16"/>
                <w:szCs w:val="16"/>
              </w:rPr>
            </w:pPr>
            <w:r w:rsidRPr="00DB26F9">
              <w:rPr>
                <w:rFonts w:ascii="Arial" w:hAnsi="Arial" w:cs="Arial"/>
                <w:b/>
                <w:sz w:val="16"/>
                <w:szCs w:val="16"/>
              </w:rPr>
              <w:t>Critério de</w:t>
            </w:r>
          </w:p>
          <w:p w:rsidR="00ED6049" w:rsidRPr="00DB26F9" w:rsidRDefault="00ED6049" w:rsidP="00DB26F9">
            <w:pPr>
              <w:autoSpaceDE w:val="0"/>
              <w:autoSpaceDN w:val="0"/>
              <w:adjustRightInd w:val="0"/>
              <w:jc w:val="center"/>
              <w:rPr>
                <w:rFonts w:ascii="Arial" w:hAnsi="Arial" w:cs="Arial"/>
                <w:b/>
                <w:sz w:val="16"/>
                <w:szCs w:val="16"/>
              </w:rPr>
            </w:pPr>
            <w:r w:rsidRPr="00DB26F9">
              <w:rPr>
                <w:rFonts w:ascii="Arial" w:hAnsi="Arial" w:cs="Arial"/>
                <w:b/>
                <w:sz w:val="16"/>
                <w:szCs w:val="16"/>
              </w:rPr>
              <w:t>Desempenho</w:t>
            </w:r>
          </w:p>
          <w:p w:rsidR="00ED6049" w:rsidRPr="00DB26F9" w:rsidRDefault="00ED6049" w:rsidP="00DB26F9">
            <w:pPr>
              <w:autoSpaceDE w:val="0"/>
              <w:autoSpaceDN w:val="0"/>
              <w:adjustRightInd w:val="0"/>
              <w:jc w:val="center"/>
              <w:rPr>
                <w:rFonts w:ascii="Arial" w:hAnsi="Arial" w:cs="Arial"/>
                <w:b/>
                <w:sz w:val="16"/>
                <w:szCs w:val="16"/>
              </w:rPr>
            </w:pPr>
            <w:r w:rsidRPr="00DB26F9">
              <w:rPr>
                <w:rFonts w:ascii="Arial" w:hAnsi="Arial" w:cs="Arial"/>
                <w:b/>
                <w:sz w:val="16"/>
                <w:szCs w:val="16"/>
              </w:rPr>
              <w:t>Insatisfatório</w:t>
            </w:r>
          </w:p>
        </w:tc>
        <w:tc>
          <w:tcPr>
            <w:tcW w:w="1818" w:type="dxa"/>
            <w:tcBorders>
              <w:top w:val="threeDEmboss" w:sz="12" w:space="0" w:color="auto"/>
              <w:left w:val="single" w:sz="4" w:space="0" w:color="auto"/>
              <w:bottom w:val="single" w:sz="12" w:space="0" w:color="auto"/>
            </w:tcBorders>
            <w:shd w:val="clear" w:color="auto" w:fill="D6E3BC"/>
            <w:vAlign w:val="center"/>
          </w:tcPr>
          <w:p w:rsidR="00ED6049" w:rsidRPr="00DB26F9" w:rsidRDefault="00ED6049" w:rsidP="00DB26F9">
            <w:pPr>
              <w:autoSpaceDE w:val="0"/>
              <w:autoSpaceDN w:val="0"/>
              <w:adjustRightInd w:val="0"/>
              <w:jc w:val="center"/>
              <w:rPr>
                <w:rFonts w:ascii="Arial" w:hAnsi="Arial" w:cs="Arial"/>
                <w:b/>
                <w:sz w:val="16"/>
                <w:szCs w:val="16"/>
              </w:rPr>
            </w:pPr>
            <w:r w:rsidRPr="00DB26F9">
              <w:rPr>
                <w:rFonts w:ascii="Arial" w:hAnsi="Arial" w:cs="Arial"/>
                <w:b/>
                <w:sz w:val="16"/>
                <w:szCs w:val="16"/>
              </w:rPr>
              <w:t>Observações</w:t>
            </w:r>
          </w:p>
        </w:tc>
      </w:tr>
      <w:tr w:rsidR="00CA6DD6" w:rsidRPr="00DB26F9" w:rsidTr="00E830C3">
        <w:trPr>
          <w:trHeight w:val="1620"/>
        </w:trPr>
        <w:tc>
          <w:tcPr>
            <w:tcW w:w="4252" w:type="dxa"/>
            <w:tcBorders>
              <w:top w:val="single" w:sz="12" w:space="0" w:color="auto"/>
              <w:right w:val="single" w:sz="4" w:space="0" w:color="auto"/>
            </w:tcBorders>
            <w:vAlign w:val="center"/>
          </w:tcPr>
          <w:p w:rsidR="00CA6DD6" w:rsidRPr="00DB26F9" w:rsidRDefault="00CA6DD6" w:rsidP="004040A0">
            <w:pPr>
              <w:autoSpaceDE w:val="0"/>
              <w:autoSpaceDN w:val="0"/>
              <w:adjustRightInd w:val="0"/>
              <w:jc w:val="both"/>
              <w:rPr>
                <w:rFonts w:ascii="Arial" w:hAnsi="Arial" w:cs="Arial"/>
                <w:sz w:val="16"/>
                <w:szCs w:val="16"/>
              </w:rPr>
            </w:pPr>
            <w:r w:rsidRPr="00DB26F9">
              <w:rPr>
                <w:rFonts w:ascii="Arial" w:hAnsi="Arial" w:cs="Arial"/>
                <w:b/>
                <w:sz w:val="16"/>
                <w:szCs w:val="16"/>
              </w:rPr>
              <w:t xml:space="preserve">Art. </w:t>
            </w:r>
            <w:r w:rsidR="004040A0">
              <w:rPr>
                <w:rFonts w:ascii="Arial" w:hAnsi="Arial" w:cs="Arial"/>
                <w:b/>
                <w:sz w:val="16"/>
                <w:szCs w:val="16"/>
              </w:rPr>
              <w:t>7</w:t>
            </w:r>
            <w:r w:rsidRPr="00DB26F9">
              <w:rPr>
                <w:rFonts w:ascii="Arial" w:hAnsi="Arial" w:cs="Arial"/>
                <w:b/>
                <w:sz w:val="16"/>
                <w:szCs w:val="16"/>
              </w:rPr>
              <w:t xml:space="preserve">°, </w:t>
            </w:r>
            <w:r w:rsidR="00E94BC6" w:rsidRPr="00DB26F9">
              <w:rPr>
                <w:rFonts w:ascii="Arial" w:hAnsi="Arial" w:cs="Arial"/>
                <w:b/>
                <w:sz w:val="16"/>
                <w:szCs w:val="16"/>
              </w:rPr>
              <w:t>inciso</w:t>
            </w:r>
            <w:r w:rsidRPr="00DB26F9">
              <w:rPr>
                <w:rFonts w:ascii="Arial" w:hAnsi="Arial" w:cs="Arial"/>
                <w:b/>
                <w:sz w:val="16"/>
                <w:szCs w:val="16"/>
              </w:rPr>
              <w:t xml:space="preserve"> I, alínea "a" -</w:t>
            </w:r>
            <w:r w:rsidRPr="00DB26F9">
              <w:rPr>
                <w:rFonts w:ascii="Arial" w:hAnsi="Arial" w:cs="Arial"/>
                <w:sz w:val="16"/>
                <w:szCs w:val="16"/>
              </w:rPr>
              <w:t xml:space="preserve"> Títulos de Emissão do Tesouro Nacional (custódia SELIC)</w:t>
            </w:r>
          </w:p>
        </w:tc>
        <w:tc>
          <w:tcPr>
            <w:tcW w:w="1543" w:type="dxa"/>
            <w:vMerge w:val="restart"/>
            <w:tcBorders>
              <w:top w:val="single" w:sz="12" w:space="0" w:color="auto"/>
              <w:left w:val="single" w:sz="4" w:space="0" w:color="auto"/>
              <w:right w:val="single" w:sz="4" w:space="0" w:color="auto"/>
            </w:tcBorders>
            <w:vAlign w:val="center"/>
          </w:tcPr>
          <w:p w:rsidR="00CA6DD6" w:rsidRPr="00DB26F9" w:rsidRDefault="008D1C5A" w:rsidP="00DB26F9">
            <w:pPr>
              <w:autoSpaceDE w:val="0"/>
              <w:autoSpaceDN w:val="0"/>
              <w:adjustRightInd w:val="0"/>
              <w:jc w:val="center"/>
              <w:rPr>
                <w:rFonts w:ascii="Arial" w:hAnsi="Arial" w:cs="Arial"/>
                <w:sz w:val="16"/>
                <w:szCs w:val="16"/>
              </w:rPr>
            </w:pPr>
            <w:r w:rsidRPr="00DB26F9">
              <w:rPr>
                <w:rFonts w:ascii="Arial" w:hAnsi="Arial" w:cs="Arial"/>
                <w:sz w:val="16"/>
                <w:szCs w:val="16"/>
              </w:rPr>
              <w:t>1 (um) semestre</w:t>
            </w:r>
          </w:p>
        </w:tc>
        <w:tc>
          <w:tcPr>
            <w:tcW w:w="1284" w:type="dxa"/>
            <w:tcBorders>
              <w:top w:val="single" w:sz="12" w:space="0" w:color="auto"/>
              <w:lef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r w:rsidRPr="00DB26F9">
              <w:rPr>
                <w:rFonts w:ascii="Arial" w:hAnsi="Arial" w:cs="Arial"/>
                <w:sz w:val="16"/>
                <w:szCs w:val="16"/>
              </w:rPr>
              <w:t>Descasamento do Objetivo de Rentabilidade</w:t>
            </w:r>
          </w:p>
        </w:tc>
        <w:tc>
          <w:tcPr>
            <w:tcW w:w="1818" w:type="dxa"/>
            <w:tcBorders>
              <w:top w:val="single" w:sz="12" w:space="0" w:color="auto"/>
              <w:left w:val="single" w:sz="4" w:space="0" w:color="auto"/>
            </w:tcBorders>
            <w:vAlign w:val="center"/>
          </w:tcPr>
          <w:p w:rsidR="00CA6DD6" w:rsidRPr="00DB26F9" w:rsidRDefault="00CA6DD6" w:rsidP="00DB26F9">
            <w:pPr>
              <w:autoSpaceDE w:val="0"/>
              <w:autoSpaceDN w:val="0"/>
              <w:adjustRightInd w:val="0"/>
              <w:jc w:val="both"/>
              <w:rPr>
                <w:rFonts w:ascii="Arial" w:hAnsi="Arial" w:cs="Arial"/>
                <w:sz w:val="16"/>
                <w:szCs w:val="16"/>
              </w:rPr>
            </w:pPr>
            <w:r w:rsidRPr="00DB26F9">
              <w:rPr>
                <w:rFonts w:ascii="Arial" w:hAnsi="Arial" w:cs="Arial"/>
                <w:sz w:val="16"/>
                <w:szCs w:val="16"/>
              </w:rPr>
              <w:t>Título com objetivo de cumprir meta atuarial permite-se o cumpri</w:t>
            </w:r>
            <w:r w:rsidRPr="00DB26F9">
              <w:rPr>
                <w:rFonts w:ascii="Arial" w:hAnsi="Arial" w:cs="Arial"/>
                <w:sz w:val="16"/>
                <w:szCs w:val="16"/>
              </w:rPr>
              <w:softHyphen/>
              <w:t>mento da meta em relação ao valor de mercado no período de avaliação.</w:t>
            </w:r>
          </w:p>
        </w:tc>
      </w:tr>
      <w:tr w:rsidR="00CA6DD6" w:rsidRPr="00DB26F9" w:rsidTr="00A47A05">
        <w:trPr>
          <w:trHeight w:val="198"/>
        </w:trPr>
        <w:tc>
          <w:tcPr>
            <w:tcW w:w="4252" w:type="dxa"/>
            <w:tcBorders>
              <w:top w:val="single" w:sz="4" w:space="0" w:color="auto"/>
              <w:bottom w:val="single" w:sz="4" w:space="0" w:color="auto"/>
              <w:right w:val="single" w:sz="4" w:space="0" w:color="auto"/>
            </w:tcBorders>
            <w:vAlign w:val="center"/>
          </w:tcPr>
          <w:p w:rsidR="00CA6DD6" w:rsidRDefault="00CA6DD6" w:rsidP="004040A0">
            <w:pPr>
              <w:autoSpaceDE w:val="0"/>
              <w:autoSpaceDN w:val="0"/>
              <w:adjustRightInd w:val="0"/>
              <w:jc w:val="both"/>
              <w:rPr>
                <w:rFonts w:ascii="Arial" w:hAnsi="Arial" w:cs="Arial"/>
                <w:sz w:val="16"/>
                <w:szCs w:val="16"/>
              </w:rPr>
            </w:pPr>
            <w:r w:rsidRPr="00DB26F9">
              <w:rPr>
                <w:rFonts w:ascii="Arial" w:hAnsi="Arial" w:cs="Arial"/>
                <w:b/>
                <w:sz w:val="16"/>
                <w:szCs w:val="16"/>
              </w:rPr>
              <w:t>Art.</w:t>
            </w:r>
            <w:r w:rsidR="004040A0">
              <w:rPr>
                <w:rFonts w:ascii="Arial" w:hAnsi="Arial" w:cs="Arial"/>
                <w:b/>
                <w:sz w:val="16"/>
                <w:szCs w:val="16"/>
              </w:rPr>
              <w:t xml:space="preserve"> 7</w:t>
            </w:r>
            <w:r w:rsidRPr="00DB26F9">
              <w:rPr>
                <w:rFonts w:ascii="Arial" w:hAnsi="Arial" w:cs="Arial"/>
                <w:b/>
                <w:sz w:val="16"/>
                <w:szCs w:val="16"/>
              </w:rPr>
              <w:t>º, inciso I, alínea "b" -</w:t>
            </w:r>
            <w:r w:rsidR="007B7904">
              <w:rPr>
                <w:rFonts w:ascii="Arial" w:hAnsi="Arial" w:cs="Arial"/>
                <w:b/>
                <w:sz w:val="16"/>
                <w:szCs w:val="16"/>
              </w:rPr>
              <w:t xml:space="preserve"> </w:t>
            </w:r>
            <w:r w:rsidRPr="00DB26F9">
              <w:rPr>
                <w:rFonts w:ascii="Arial" w:hAnsi="Arial" w:cs="Arial"/>
                <w:bCs/>
                <w:sz w:val="16"/>
                <w:szCs w:val="16"/>
              </w:rPr>
              <w:t xml:space="preserve">Cotas de fundos de investimento cujas carteiras estejam representadas exclusivamente </w:t>
            </w:r>
            <w:r w:rsidRPr="00DB26F9">
              <w:rPr>
                <w:rFonts w:ascii="Arial" w:hAnsi="Arial" w:cs="Arial"/>
                <w:sz w:val="16"/>
                <w:szCs w:val="16"/>
              </w:rPr>
              <w:t>pelos títulos definidos na alínea "a" deste inciso, desde que assim conste nos regulamentos dos fundos</w:t>
            </w:r>
          </w:p>
          <w:p w:rsidR="00E830C3" w:rsidRPr="00DB26F9" w:rsidRDefault="00E830C3" w:rsidP="004040A0">
            <w:pPr>
              <w:autoSpaceDE w:val="0"/>
              <w:autoSpaceDN w:val="0"/>
              <w:adjustRightInd w:val="0"/>
              <w:jc w:val="both"/>
              <w:rPr>
                <w:rFonts w:ascii="Arial" w:hAnsi="Arial" w:cs="Arial"/>
                <w:sz w:val="16"/>
                <w:szCs w:val="16"/>
              </w:rPr>
            </w:pPr>
          </w:p>
        </w:tc>
        <w:tc>
          <w:tcPr>
            <w:tcW w:w="1543" w:type="dxa"/>
            <w:vMerge/>
            <w:tcBorders>
              <w:left w:val="single" w:sz="4" w:space="0" w:color="auto"/>
              <w:righ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c>
          <w:tcPr>
            <w:tcW w:w="1284" w:type="dxa"/>
            <w:vMerge w:val="restart"/>
            <w:tcBorders>
              <w:top w:val="single" w:sz="4" w:space="0" w:color="auto"/>
              <w:left w:val="single" w:sz="4" w:space="0" w:color="auto"/>
            </w:tcBorders>
            <w:vAlign w:val="center"/>
          </w:tcPr>
          <w:p w:rsidR="008D1C5A" w:rsidRPr="00DB26F9" w:rsidRDefault="00CA6DD6" w:rsidP="009715F6">
            <w:pPr>
              <w:autoSpaceDE w:val="0"/>
              <w:autoSpaceDN w:val="0"/>
              <w:adjustRightInd w:val="0"/>
              <w:jc w:val="center"/>
              <w:rPr>
                <w:rFonts w:ascii="Arial" w:hAnsi="Arial" w:cs="Arial"/>
                <w:sz w:val="16"/>
                <w:szCs w:val="16"/>
              </w:rPr>
            </w:pPr>
            <w:r w:rsidRPr="00DB26F9">
              <w:rPr>
                <w:rFonts w:ascii="Arial" w:hAnsi="Arial" w:cs="Arial"/>
                <w:sz w:val="16"/>
                <w:szCs w:val="16"/>
              </w:rPr>
              <w:t>9</w:t>
            </w:r>
            <w:r w:rsidR="004040A0">
              <w:rPr>
                <w:rFonts w:ascii="Arial" w:hAnsi="Arial" w:cs="Arial"/>
                <w:sz w:val="16"/>
                <w:szCs w:val="16"/>
              </w:rPr>
              <w:t>0</w:t>
            </w:r>
            <w:r w:rsidR="00445374">
              <w:rPr>
                <w:rFonts w:ascii="Arial" w:hAnsi="Arial" w:cs="Arial"/>
                <w:sz w:val="16"/>
                <w:szCs w:val="16"/>
              </w:rPr>
              <w:t>%</w:t>
            </w:r>
            <w:r w:rsidRPr="00DB26F9">
              <w:rPr>
                <w:rFonts w:ascii="Arial" w:hAnsi="Arial" w:cs="Arial"/>
                <w:sz w:val="16"/>
                <w:szCs w:val="16"/>
              </w:rPr>
              <w:t xml:space="preserve">do </w:t>
            </w:r>
            <w:r w:rsidR="008D1C5A" w:rsidRPr="00DB26F9">
              <w:rPr>
                <w:rFonts w:ascii="Arial" w:hAnsi="Arial" w:cs="Arial"/>
                <w:b/>
                <w:i/>
                <w:sz w:val="16"/>
                <w:szCs w:val="16"/>
              </w:rPr>
              <w:t>benchmark</w:t>
            </w:r>
            <w:r w:rsidR="00231CAF" w:rsidRPr="00DB26F9">
              <w:rPr>
                <w:rFonts w:ascii="Arial" w:hAnsi="Arial" w:cs="Arial"/>
                <w:b/>
                <w:sz w:val="16"/>
                <w:szCs w:val="16"/>
              </w:rPr>
              <w:t>do fundo</w:t>
            </w:r>
          </w:p>
        </w:tc>
        <w:tc>
          <w:tcPr>
            <w:tcW w:w="1818" w:type="dxa"/>
            <w:vMerge w:val="restart"/>
            <w:tcBorders>
              <w:top w:val="single" w:sz="4" w:space="0" w:color="auto"/>
              <w:left w:val="single" w:sz="4" w:space="0" w:color="auto"/>
            </w:tcBorders>
            <w:vAlign w:val="center"/>
          </w:tcPr>
          <w:p w:rsidR="00CA6DD6" w:rsidRPr="00DB26F9" w:rsidRDefault="00CA6DD6" w:rsidP="00DB26F9">
            <w:pPr>
              <w:autoSpaceDE w:val="0"/>
              <w:autoSpaceDN w:val="0"/>
              <w:adjustRightInd w:val="0"/>
              <w:jc w:val="both"/>
              <w:rPr>
                <w:rFonts w:ascii="Arial" w:hAnsi="Arial" w:cs="Arial"/>
                <w:sz w:val="16"/>
                <w:szCs w:val="16"/>
              </w:rPr>
            </w:pPr>
            <w:r w:rsidRPr="00DB26F9">
              <w:rPr>
                <w:rFonts w:ascii="Arial" w:hAnsi="Arial" w:cs="Arial"/>
                <w:sz w:val="16"/>
                <w:szCs w:val="16"/>
              </w:rPr>
              <w:t>Migração dos recursos para outro produto no mesmo segmento me</w:t>
            </w:r>
            <w:r w:rsidRPr="00DB26F9">
              <w:rPr>
                <w:rFonts w:ascii="Arial" w:hAnsi="Arial" w:cs="Arial"/>
                <w:sz w:val="16"/>
                <w:szCs w:val="16"/>
              </w:rPr>
              <w:softHyphen/>
              <w:t>lhor rentabilizado.</w:t>
            </w:r>
          </w:p>
        </w:tc>
      </w:tr>
      <w:tr w:rsidR="00CA6DD6" w:rsidRPr="00DB26F9" w:rsidTr="00A47A05">
        <w:trPr>
          <w:trHeight w:val="198"/>
        </w:trPr>
        <w:tc>
          <w:tcPr>
            <w:tcW w:w="4252" w:type="dxa"/>
            <w:tcBorders>
              <w:top w:val="single" w:sz="4" w:space="0" w:color="auto"/>
              <w:bottom w:val="single" w:sz="4" w:space="0" w:color="auto"/>
              <w:right w:val="single" w:sz="4" w:space="0" w:color="auto"/>
            </w:tcBorders>
            <w:vAlign w:val="center"/>
          </w:tcPr>
          <w:p w:rsidR="00CA6DD6" w:rsidRDefault="00CA6DD6" w:rsidP="004040A0">
            <w:pPr>
              <w:autoSpaceDE w:val="0"/>
              <w:autoSpaceDN w:val="0"/>
              <w:adjustRightInd w:val="0"/>
              <w:jc w:val="both"/>
              <w:rPr>
                <w:rFonts w:ascii="Arial" w:hAnsi="Arial" w:cs="Arial"/>
                <w:sz w:val="16"/>
                <w:szCs w:val="16"/>
              </w:rPr>
            </w:pPr>
            <w:r w:rsidRPr="00DB26F9">
              <w:rPr>
                <w:rFonts w:ascii="Arial" w:hAnsi="Arial" w:cs="Arial"/>
                <w:b/>
                <w:sz w:val="16"/>
                <w:szCs w:val="16"/>
              </w:rPr>
              <w:t>Art.</w:t>
            </w:r>
            <w:r w:rsidR="004040A0">
              <w:rPr>
                <w:rFonts w:ascii="Arial" w:hAnsi="Arial" w:cs="Arial"/>
                <w:b/>
                <w:sz w:val="16"/>
                <w:szCs w:val="16"/>
              </w:rPr>
              <w:t xml:space="preserve"> 7</w:t>
            </w:r>
            <w:r w:rsidRPr="00DB26F9">
              <w:rPr>
                <w:rFonts w:ascii="Arial" w:hAnsi="Arial" w:cs="Arial"/>
                <w:b/>
                <w:sz w:val="16"/>
                <w:szCs w:val="16"/>
              </w:rPr>
              <w:t>º, inciso II -</w:t>
            </w:r>
            <w:r w:rsidR="004040A0">
              <w:rPr>
                <w:rFonts w:ascii="Arial" w:hAnsi="Arial" w:cs="Arial"/>
                <w:b/>
                <w:sz w:val="16"/>
                <w:szCs w:val="16"/>
              </w:rPr>
              <w:t xml:space="preserve"> Op</w:t>
            </w:r>
            <w:r w:rsidRPr="00DB26F9">
              <w:rPr>
                <w:rFonts w:ascii="Arial" w:hAnsi="Arial" w:cs="Arial"/>
                <w:sz w:val="16"/>
                <w:szCs w:val="16"/>
              </w:rPr>
              <w:t>erações compromissadas, lastreadas exclusivamente pelos títulos definidos na alínea "a" do inciso I</w:t>
            </w:r>
          </w:p>
          <w:p w:rsidR="00E830C3" w:rsidRPr="00DB26F9" w:rsidRDefault="00E830C3" w:rsidP="004040A0">
            <w:pPr>
              <w:autoSpaceDE w:val="0"/>
              <w:autoSpaceDN w:val="0"/>
              <w:adjustRightInd w:val="0"/>
              <w:jc w:val="both"/>
              <w:rPr>
                <w:rFonts w:ascii="Arial" w:hAnsi="Arial" w:cs="Arial"/>
                <w:sz w:val="16"/>
                <w:szCs w:val="16"/>
              </w:rPr>
            </w:pPr>
          </w:p>
        </w:tc>
        <w:tc>
          <w:tcPr>
            <w:tcW w:w="1543" w:type="dxa"/>
            <w:vMerge/>
            <w:tcBorders>
              <w:left w:val="single" w:sz="4" w:space="0" w:color="auto"/>
              <w:righ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c>
          <w:tcPr>
            <w:tcW w:w="1284" w:type="dxa"/>
            <w:vMerge/>
            <w:tcBorders>
              <w:lef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c>
          <w:tcPr>
            <w:tcW w:w="1818" w:type="dxa"/>
            <w:vMerge/>
            <w:tcBorders>
              <w:lef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r>
      <w:tr w:rsidR="00CA6DD6" w:rsidRPr="00DB26F9" w:rsidTr="00A47A05">
        <w:trPr>
          <w:trHeight w:val="198"/>
        </w:trPr>
        <w:tc>
          <w:tcPr>
            <w:tcW w:w="4252" w:type="dxa"/>
            <w:tcBorders>
              <w:top w:val="single" w:sz="4" w:space="0" w:color="auto"/>
              <w:bottom w:val="single" w:sz="4" w:space="0" w:color="auto"/>
              <w:right w:val="single" w:sz="4" w:space="0" w:color="auto"/>
            </w:tcBorders>
            <w:vAlign w:val="center"/>
          </w:tcPr>
          <w:p w:rsidR="00CA6DD6" w:rsidRDefault="00CA6DD6" w:rsidP="004040A0">
            <w:pPr>
              <w:autoSpaceDE w:val="0"/>
              <w:autoSpaceDN w:val="0"/>
              <w:adjustRightInd w:val="0"/>
              <w:jc w:val="both"/>
              <w:rPr>
                <w:rFonts w:ascii="Arial" w:hAnsi="Arial" w:cs="Arial"/>
                <w:bCs/>
                <w:sz w:val="16"/>
                <w:szCs w:val="16"/>
              </w:rPr>
            </w:pPr>
            <w:r w:rsidRPr="00DB26F9">
              <w:rPr>
                <w:rFonts w:ascii="Arial" w:hAnsi="Arial" w:cs="Arial"/>
                <w:b/>
                <w:sz w:val="16"/>
                <w:szCs w:val="16"/>
              </w:rPr>
              <w:t xml:space="preserve">Art. </w:t>
            </w:r>
            <w:r w:rsidR="004040A0">
              <w:rPr>
                <w:rFonts w:ascii="Arial" w:hAnsi="Arial" w:cs="Arial"/>
                <w:b/>
                <w:sz w:val="16"/>
                <w:szCs w:val="16"/>
              </w:rPr>
              <w:t>7</w:t>
            </w:r>
            <w:r w:rsidRPr="00DB26F9">
              <w:rPr>
                <w:rFonts w:ascii="Arial" w:hAnsi="Arial" w:cs="Arial"/>
                <w:b/>
                <w:sz w:val="16"/>
                <w:szCs w:val="16"/>
              </w:rPr>
              <w:t>º, inciso III -</w:t>
            </w:r>
            <w:r w:rsidR="007B7904">
              <w:rPr>
                <w:rFonts w:ascii="Arial" w:hAnsi="Arial" w:cs="Arial"/>
                <w:b/>
                <w:sz w:val="16"/>
                <w:szCs w:val="16"/>
              </w:rPr>
              <w:t xml:space="preserve"> </w:t>
            </w:r>
            <w:r w:rsidR="004040A0" w:rsidRPr="004040A0">
              <w:rPr>
                <w:rFonts w:ascii="Arial" w:hAnsi="Arial" w:cs="Arial"/>
                <w:bCs/>
                <w:sz w:val="16"/>
                <w:szCs w:val="16"/>
              </w:rPr>
              <w:t>Cotas de fundos de investimento  classificados como renda fixa ou como referenciado em indicadores de desempenho de renda fixa</w:t>
            </w:r>
            <w:r w:rsidR="004040A0" w:rsidRPr="004040A0">
              <w:rPr>
                <w:rFonts w:ascii="Arial" w:hAnsi="Arial" w:cs="Arial"/>
                <w:sz w:val="16"/>
                <w:szCs w:val="16"/>
              </w:rPr>
              <w:t xml:space="preserve">, constituídos sob a forma de condomínio aberto e cuja a política de investimento assuma o compromisso de buscar o retorno de um dos subíndice do Índice de Mercado Anbima (IMA) ou do Índice </w:t>
            </w:r>
            <w:r w:rsidR="004040A0" w:rsidRPr="004040A0">
              <w:rPr>
                <w:rFonts w:ascii="Arial" w:hAnsi="Arial" w:cs="Arial"/>
                <w:bCs/>
                <w:sz w:val="16"/>
                <w:szCs w:val="16"/>
              </w:rPr>
              <w:t>de Duração constante Anbima (IDkA), com exceção de qualquer subíndice atrelado à taxa de juros de um dia.</w:t>
            </w:r>
          </w:p>
          <w:p w:rsidR="00E830C3" w:rsidRPr="00DB26F9" w:rsidRDefault="00E830C3" w:rsidP="004040A0">
            <w:pPr>
              <w:autoSpaceDE w:val="0"/>
              <w:autoSpaceDN w:val="0"/>
              <w:adjustRightInd w:val="0"/>
              <w:jc w:val="both"/>
              <w:rPr>
                <w:rFonts w:ascii="Arial" w:hAnsi="Arial" w:cs="Arial"/>
                <w:sz w:val="16"/>
                <w:szCs w:val="16"/>
              </w:rPr>
            </w:pPr>
          </w:p>
        </w:tc>
        <w:tc>
          <w:tcPr>
            <w:tcW w:w="1543" w:type="dxa"/>
            <w:vMerge/>
            <w:tcBorders>
              <w:left w:val="single" w:sz="4" w:space="0" w:color="auto"/>
              <w:righ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c>
          <w:tcPr>
            <w:tcW w:w="1284" w:type="dxa"/>
            <w:vMerge/>
            <w:tcBorders>
              <w:lef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c>
          <w:tcPr>
            <w:tcW w:w="1818" w:type="dxa"/>
            <w:vMerge/>
            <w:tcBorders>
              <w:lef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r>
      <w:tr w:rsidR="00CA6DD6" w:rsidRPr="00DB26F9" w:rsidTr="00A47A05">
        <w:trPr>
          <w:trHeight w:val="198"/>
        </w:trPr>
        <w:tc>
          <w:tcPr>
            <w:tcW w:w="4252" w:type="dxa"/>
            <w:tcBorders>
              <w:top w:val="single" w:sz="4" w:space="0" w:color="auto"/>
              <w:bottom w:val="single" w:sz="4" w:space="0" w:color="auto"/>
              <w:right w:val="single" w:sz="4" w:space="0" w:color="auto"/>
            </w:tcBorders>
            <w:vAlign w:val="center"/>
          </w:tcPr>
          <w:p w:rsidR="00CA6DD6" w:rsidRDefault="004040A0" w:rsidP="004040A0">
            <w:pPr>
              <w:autoSpaceDE w:val="0"/>
              <w:autoSpaceDN w:val="0"/>
              <w:adjustRightInd w:val="0"/>
              <w:jc w:val="both"/>
              <w:rPr>
                <w:rFonts w:ascii="Arial" w:hAnsi="Arial" w:cs="Arial"/>
                <w:sz w:val="16"/>
                <w:szCs w:val="16"/>
              </w:rPr>
            </w:pPr>
            <w:r>
              <w:rPr>
                <w:rFonts w:ascii="Arial" w:hAnsi="Arial" w:cs="Arial"/>
                <w:b/>
                <w:sz w:val="16"/>
                <w:szCs w:val="16"/>
              </w:rPr>
              <w:t>Art. 7</w:t>
            </w:r>
            <w:r w:rsidR="00CA6DD6" w:rsidRPr="00DB26F9">
              <w:rPr>
                <w:rFonts w:ascii="Arial" w:hAnsi="Arial" w:cs="Arial"/>
                <w:b/>
                <w:sz w:val="16"/>
                <w:szCs w:val="16"/>
              </w:rPr>
              <w:t>º, inciso I</w:t>
            </w:r>
            <w:r>
              <w:rPr>
                <w:rFonts w:ascii="Arial" w:hAnsi="Arial" w:cs="Arial"/>
                <w:b/>
                <w:sz w:val="16"/>
                <w:szCs w:val="16"/>
              </w:rPr>
              <w:t>V</w:t>
            </w:r>
            <w:r w:rsidR="00CA6DD6" w:rsidRPr="004040A0">
              <w:rPr>
                <w:rFonts w:ascii="Arial" w:hAnsi="Arial" w:cs="Arial"/>
                <w:b/>
                <w:sz w:val="16"/>
                <w:szCs w:val="16"/>
              </w:rPr>
              <w:t>-</w:t>
            </w:r>
            <w:r w:rsidRPr="004040A0">
              <w:rPr>
                <w:rFonts w:ascii="Arial" w:hAnsi="Arial" w:cs="Arial"/>
                <w:bCs/>
                <w:sz w:val="16"/>
                <w:szCs w:val="16"/>
              </w:rPr>
              <w:t>Cotas de fundos de investimento classificados como de renda fixa</w:t>
            </w:r>
            <w:r w:rsidRPr="004040A0">
              <w:rPr>
                <w:rFonts w:ascii="Arial" w:hAnsi="Arial" w:cs="Arial"/>
                <w:sz w:val="16"/>
                <w:szCs w:val="16"/>
              </w:rPr>
              <w:t xml:space="preserve"> ou como referenciados em indicadores de desempenho de renda fixa, constituídos sob a forma de condomínio aberto.</w:t>
            </w:r>
          </w:p>
          <w:p w:rsidR="00E830C3" w:rsidRPr="00DB26F9" w:rsidRDefault="00E830C3" w:rsidP="004040A0">
            <w:pPr>
              <w:autoSpaceDE w:val="0"/>
              <w:autoSpaceDN w:val="0"/>
              <w:adjustRightInd w:val="0"/>
              <w:jc w:val="both"/>
              <w:rPr>
                <w:rFonts w:ascii="Arial" w:hAnsi="Arial" w:cs="Arial"/>
                <w:sz w:val="16"/>
                <w:szCs w:val="16"/>
              </w:rPr>
            </w:pPr>
          </w:p>
        </w:tc>
        <w:tc>
          <w:tcPr>
            <w:tcW w:w="1543" w:type="dxa"/>
            <w:vMerge/>
            <w:tcBorders>
              <w:left w:val="single" w:sz="4" w:space="0" w:color="auto"/>
              <w:righ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c>
          <w:tcPr>
            <w:tcW w:w="1284" w:type="dxa"/>
            <w:vMerge/>
            <w:tcBorders>
              <w:lef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c>
          <w:tcPr>
            <w:tcW w:w="1818" w:type="dxa"/>
            <w:vMerge/>
            <w:tcBorders>
              <w:lef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r>
      <w:tr w:rsidR="00CA6DD6" w:rsidRPr="00DB26F9" w:rsidTr="00A47A05">
        <w:trPr>
          <w:trHeight w:val="198"/>
        </w:trPr>
        <w:tc>
          <w:tcPr>
            <w:tcW w:w="4252" w:type="dxa"/>
            <w:tcBorders>
              <w:top w:val="single" w:sz="4" w:space="0" w:color="auto"/>
              <w:bottom w:val="single" w:sz="4" w:space="0" w:color="auto"/>
              <w:right w:val="single" w:sz="4" w:space="0" w:color="auto"/>
            </w:tcBorders>
            <w:vAlign w:val="center"/>
          </w:tcPr>
          <w:p w:rsidR="00CA6DD6" w:rsidRDefault="00CA6DD6" w:rsidP="004040A0">
            <w:pPr>
              <w:autoSpaceDE w:val="0"/>
              <w:autoSpaceDN w:val="0"/>
              <w:adjustRightInd w:val="0"/>
              <w:jc w:val="both"/>
              <w:rPr>
                <w:rFonts w:ascii="Arial" w:hAnsi="Arial" w:cs="Arial"/>
                <w:bCs/>
                <w:sz w:val="16"/>
                <w:szCs w:val="16"/>
              </w:rPr>
            </w:pPr>
            <w:r w:rsidRPr="00DB26F9">
              <w:rPr>
                <w:rFonts w:ascii="Arial" w:hAnsi="Arial" w:cs="Arial"/>
                <w:b/>
                <w:sz w:val="16"/>
                <w:szCs w:val="16"/>
              </w:rPr>
              <w:t xml:space="preserve">Art. </w:t>
            </w:r>
            <w:r w:rsidR="004040A0">
              <w:rPr>
                <w:rFonts w:ascii="Arial" w:hAnsi="Arial" w:cs="Arial"/>
                <w:b/>
                <w:sz w:val="16"/>
                <w:szCs w:val="16"/>
              </w:rPr>
              <w:t>7</w:t>
            </w:r>
            <w:r w:rsidRPr="00DB26F9">
              <w:rPr>
                <w:rFonts w:ascii="Arial" w:hAnsi="Arial" w:cs="Arial"/>
                <w:b/>
                <w:sz w:val="16"/>
                <w:szCs w:val="16"/>
              </w:rPr>
              <w:t>º, inciso V</w:t>
            </w:r>
            <w:r w:rsidRPr="00DB26F9">
              <w:rPr>
                <w:rFonts w:ascii="Arial" w:hAnsi="Arial" w:cs="Arial"/>
                <w:b/>
                <w:bCs/>
                <w:sz w:val="16"/>
                <w:szCs w:val="16"/>
              </w:rPr>
              <w:t xml:space="preserve"> -</w:t>
            </w:r>
            <w:r w:rsidR="007B7904">
              <w:rPr>
                <w:rFonts w:ascii="Arial" w:hAnsi="Arial" w:cs="Arial"/>
                <w:b/>
                <w:bCs/>
                <w:sz w:val="16"/>
                <w:szCs w:val="16"/>
              </w:rPr>
              <w:t xml:space="preserve"> </w:t>
            </w:r>
            <w:r w:rsidR="004040A0" w:rsidRPr="004040A0">
              <w:rPr>
                <w:rFonts w:ascii="Arial" w:hAnsi="Arial" w:cs="Arial"/>
                <w:bCs/>
                <w:sz w:val="16"/>
                <w:szCs w:val="16"/>
              </w:rPr>
              <w:t xml:space="preserve">Em depósitos de poupança em instituição financeira considerada como de baixo risco de </w:t>
            </w:r>
            <w:r w:rsidR="004040A0" w:rsidRPr="004040A0">
              <w:rPr>
                <w:rFonts w:ascii="Arial" w:hAnsi="Arial" w:cs="Arial"/>
                <w:bCs/>
                <w:sz w:val="16"/>
                <w:szCs w:val="16"/>
              </w:rPr>
              <w:lastRenderedPageBreak/>
              <w:t>crédito pelos responsáveis pela gestão de recursos do regime próprio de previdência social, com base, dentre outros critérios, em classificação efetuada por agência classificadora de risco em funcionamento no País.</w:t>
            </w:r>
          </w:p>
          <w:p w:rsidR="00E830C3" w:rsidRPr="00DB26F9" w:rsidRDefault="00E830C3" w:rsidP="004040A0">
            <w:pPr>
              <w:autoSpaceDE w:val="0"/>
              <w:autoSpaceDN w:val="0"/>
              <w:adjustRightInd w:val="0"/>
              <w:jc w:val="both"/>
              <w:rPr>
                <w:rFonts w:ascii="Arial" w:hAnsi="Arial" w:cs="Arial"/>
                <w:b/>
                <w:bCs/>
                <w:sz w:val="16"/>
                <w:szCs w:val="16"/>
              </w:rPr>
            </w:pPr>
          </w:p>
        </w:tc>
        <w:tc>
          <w:tcPr>
            <w:tcW w:w="1543" w:type="dxa"/>
            <w:vMerge/>
            <w:tcBorders>
              <w:left w:val="single" w:sz="4" w:space="0" w:color="auto"/>
              <w:bottom w:val="single" w:sz="4" w:space="0" w:color="auto"/>
              <w:righ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c>
          <w:tcPr>
            <w:tcW w:w="1284" w:type="dxa"/>
            <w:vMerge/>
            <w:tcBorders>
              <w:lef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c>
          <w:tcPr>
            <w:tcW w:w="1818" w:type="dxa"/>
            <w:vMerge/>
            <w:tcBorders>
              <w:left w:val="single" w:sz="4" w:space="0" w:color="auto"/>
            </w:tcBorders>
            <w:vAlign w:val="center"/>
          </w:tcPr>
          <w:p w:rsidR="00CA6DD6" w:rsidRPr="00DB26F9" w:rsidRDefault="00CA6DD6" w:rsidP="00DB26F9">
            <w:pPr>
              <w:autoSpaceDE w:val="0"/>
              <w:autoSpaceDN w:val="0"/>
              <w:adjustRightInd w:val="0"/>
              <w:jc w:val="center"/>
              <w:rPr>
                <w:rFonts w:ascii="Arial" w:hAnsi="Arial" w:cs="Arial"/>
                <w:sz w:val="16"/>
                <w:szCs w:val="16"/>
              </w:rPr>
            </w:pPr>
          </w:p>
        </w:tc>
      </w:tr>
      <w:tr w:rsidR="008D1C5A" w:rsidRPr="00DB26F9" w:rsidTr="00A47A05">
        <w:trPr>
          <w:trHeight w:val="198"/>
        </w:trPr>
        <w:tc>
          <w:tcPr>
            <w:tcW w:w="4252" w:type="dxa"/>
            <w:tcBorders>
              <w:top w:val="single" w:sz="4" w:space="0" w:color="auto"/>
              <w:bottom w:val="single" w:sz="4" w:space="0" w:color="auto"/>
              <w:right w:val="single" w:sz="4" w:space="0" w:color="auto"/>
            </w:tcBorders>
            <w:vAlign w:val="center"/>
          </w:tcPr>
          <w:p w:rsidR="008D1C5A" w:rsidRDefault="008D1C5A" w:rsidP="004040A0">
            <w:pPr>
              <w:autoSpaceDE w:val="0"/>
              <w:autoSpaceDN w:val="0"/>
              <w:adjustRightInd w:val="0"/>
              <w:jc w:val="both"/>
              <w:rPr>
                <w:rFonts w:ascii="Arial" w:hAnsi="Arial" w:cs="Arial"/>
                <w:sz w:val="16"/>
                <w:szCs w:val="16"/>
              </w:rPr>
            </w:pPr>
            <w:r w:rsidRPr="00DB26F9">
              <w:rPr>
                <w:rFonts w:ascii="Arial" w:hAnsi="Arial" w:cs="Arial"/>
                <w:b/>
                <w:sz w:val="16"/>
                <w:szCs w:val="16"/>
              </w:rPr>
              <w:lastRenderedPageBreak/>
              <w:t xml:space="preserve">Art. </w:t>
            </w:r>
            <w:r w:rsidR="004040A0">
              <w:rPr>
                <w:rFonts w:ascii="Arial" w:hAnsi="Arial" w:cs="Arial"/>
                <w:b/>
                <w:sz w:val="16"/>
                <w:szCs w:val="16"/>
              </w:rPr>
              <w:t>7</w:t>
            </w:r>
            <w:r w:rsidRPr="00DB26F9">
              <w:rPr>
                <w:rFonts w:ascii="Arial" w:hAnsi="Arial" w:cs="Arial"/>
                <w:b/>
                <w:sz w:val="16"/>
                <w:szCs w:val="16"/>
              </w:rPr>
              <w:t>º, inciso VI</w:t>
            </w:r>
            <w:r w:rsidR="007B7904">
              <w:rPr>
                <w:rFonts w:ascii="Arial" w:hAnsi="Arial" w:cs="Arial"/>
                <w:b/>
                <w:sz w:val="16"/>
                <w:szCs w:val="16"/>
              </w:rPr>
              <w:t xml:space="preserve"> </w:t>
            </w:r>
            <w:r w:rsidRPr="004040A0">
              <w:rPr>
                <w:rFonts w:ascii="Arial" w:hAnsi="Arial" w:cs="Arial"/>
                <w:b/>
                <w:bCs/>
                <w:sz w:val="16"/>
                <w:szCs w:val="16"/>
              </w:rPr>
              <w:t>-</w:t>
            </w:r>
            <w:r w:rsidR="007B7904">
              <w:rPr>
                <w:rFonts w:ascii="Arial" w:hAnsi="Arial" w:cs="Arial"/>
                <w:b/>
                <w:bCs/>
                <w:sz w:val="16"/>
                <w:szCs w:val="16"/>
              </w:rPr>
              <w:t xml:space="preserve"> </w:t>
            </w:r>
            <w:r w:rsidR="004040A0" w:rsidRPr="004040A0">
              <w:rPr>
                <w:rFonts w:ascii="Arial" w:hAnsi="Arial" w:cs="Arial"/>
                <w:bCs/>
                <w:sz w:val="16"/>
                <w:szCs w:val="16"/>
              </w:rPr>
              <w:t>Cotas de fundos de investimento em direitos creditórios</w:t>
            </w:r>
            <w:r w:rsidR="004040A0" w:rsidRPr="004040A0">
              <w:rPr>
                <w:rFonts w:ascii="Arial" w:hAnsi="Arial" w:cs="Arial"/>
                <w:sz w:val="16"/>
                <w:szCs w:val="16"/>
              </w:rPr>
              <w:t>, constituídos sob a forma de condomínio aberto</w:t>
            </w:r>
          </w:p>
          <w:p w:rsidR="00E830C3" w:rsidRPr="00DB26F9" w:rsidRDefault="00E830C3" w:rsidP="004040A0">
            <w:pPr>
              <w:autoSpaceDE w:val="0"/>
              <w:autoSpaceDN w:val="0"/>
              <w:adjustRightInd w:val="0"/>
              <w:jc w:val="both"/>
              <w:rPr>
                <w:rFonts w:ascii="Arial" w:hAnsi="Arial" w:cs="Arial"/>
                <w:b/>
                <w:sz w:val="16"/>
                <w:szCs w:val="16"/>
              </w:rPr>
            </w:pPr>
          </w:p>
        </w:tc>
        <w:tc>
          <w:tcPr>
            <w:tcW w:w="1543" w:type="dxa"/>
            <w:vMerge w:val="restart"/>
            <w:tcBorders>
              <w:top w:val="single" w:sz="4" w:space="0" w:color="auto"/>
              <w:left w:val="single" w:sz="4" w:space="0" w:color="auto"/>
              <w:right w:val="single" w:sz="4" w:space="0" w:color="auto"/>
            </w:tcBorders>
            <w:vAlign w:val="center"/>
          </w:tcPr>
          <w:p w:rsidR="008D1C5A" w:rsidRPr="00DB26F9" w:rsidRDefault="00610D14" w:rsidP="00DB26F9">
            <w:pPr>
              <w:autoSpaceDE w:val="0"/>
              <w:autoSpaceDN w:val="0"/>
              <w:adjustRightInd w:val="0"/>
              <w:jc w:val="center"/>
              <w:rPr>
                <w:rFonts w:ascii="Arial" w:hAnsi="Arial" w:cs="Arial"/>
                <w:sz w:val="16"/>
                <w:szCs w:val="16"/>
              </w:rPr>
            </w:pPr>
            <w:r w:rsidRPr="00DB26F9">
              <w:rPr>
                <w:rFonts w:ascii="Arial" w:hAnsi="Arial" w:cs="Arial"/>
                <w:sz w:val="16"/>
                <w:szCs w:val="16"/>
              </w:rPr>
              <w:t>1 (um) semestre</w:t>
            </w:r>
          </w:p>
        </w:tc>
        <w:tc>
          <w:tcPr>
            <w:tcW w:w="1284" w:type="dxa"/>
            <w:vMerge w:val="restart"/>
            <w:tcBorders>
              <w:left w:val="single" w:sz="4" w:space="0" w:color="auto"/>
            </w:tcBorders>
            <w:vAlign w:val="center"/>
          </w:tcPr>
          <w:p w:rsidR="008D1C5A" w:rsidRPr="00DB26F9" w:rsidRDefault="008D1C5A" w:rsidP="00DB26F9">
            <w:pPr>
              <w:autoSpaceDE w:val="0"/>
              <w:autoSpaceDN w:val="0"/>
              <w:adjustRightInd w:val="0"/>
              <w:jc w:val="center"/>
              <w:rPr>
                <w:rFonts w:ascii="Arial" w:hAnsi="Arial" w:cs="Arial"/>
                <w:sz w:val="16"/>
                <w:szCs w:val="16"/>
              </w:rPr>
            </w:pPr>
            <w:r w:rsidRPr="00DB26F9">
              <w:rPr>
                <w:rFonts w:ascii="Arial" w:hAnsi="Arial" w:cs="Arial"/>
                <w:sz w:val="16"/>
                <w:szCs w:val="16"/>
              </w:rPr>
              <w:t>Descasamento do Objetivo de Rentabilidade</w:t>
            </w:r>
          </w:p>
        </w:tc>
        <w:tc>
          <w:tcPr>
            <w:tcW w:w="1818" w:type="dxa"/>
            <w:vMerge w:val="restart"/>
            <w:tcBorders>
              <w:left w:val="single" w:sz="4" w:space="0" w:color="auto"/>
            </w:tcBorders>
            <w:vAlign w:val="center"/>
          </w:tcPr>
          <w:p w:rsidR="008D1C5A" w:rsidRPr="00DB26F9" w:rsidRDefault="008D1C5A" w:rsidP="00DB26F9">
            <w:pPr>
              <w:autoSpaceDE w:val="0"/>
              <w:autoSpaceDN w:val="0"/>
              <w:adjustRightInd w:val="0"/>
              <w:spacing w:after="120"/>
              <w:jc w:val="both"/>
              <w:rPr>
                <w:rFonts w:ascii="Arial" w:hAnsi="Arial" w:cs="Arial"/>
                <w:sz w:val="16"/>
                <w:szCs w:val="16"/>
              </w:rPr>
            </w:pPr>
            <w:r w:rsidRPr="00DB26F9">
              <w:rPr>
                <w:rFonts w:ascii="Arial" w:hAnsi="Arial" w:cs="Arial"/>
                <w:sz w:val="16"/>
                <w:szCs w:val="16"/>
              </w:rPr>
              <w:t xml:space="preserve">Redução do </w:t>
            </w:r>
            <w:r w:rsidRPr="00DB26F9">
              <w:rPr>
                <w:rFonts w:ascii="Arial" w:hAnsi="Arial" w:cs="Arial"/>
                <w:b/>
                <w:i/>
                <w:sz w:val="16"/>
                <w:szCs w:val="16"/>
              </w:rPr>
              <w:t>rating</w:t>
            </w:r>
            <w:r w:rsidRPr="00DB26F9">
              <w:rPr>
                <w:rFonts w:ascii="Arial" w:hAnsi="Arial" w:cs="Arial"/>
                <w:sz w:val="16"/>
                <w:szCs w:val="16"/>
              </w:rPr>
              <w:t xml:space="preserve"> ou aumento da inadim</w:t>
            </w:r>
            <w:r w:rsidRPr="00DB26F9">
              <w:rPr>
                <w:rFonts w:ascii="Arial" w:hAnsi="Arial" w:cs="Arial"/>
                <w:sz w:val="16"/>
                <w:szCs w:val="16"/>
              </w:rPr>
              <w:softHyphen/>
              <w:t>plência exige monitora</w:t>
            </w:r>
            <w:r w:rsidRPr="00DB26F9">
              <w:rPr>
                <w:rFonts w:ascii="Arial" w:hAnsi="Arial" w:cs="Arial"/>
                <w:sz w:val="16"/>
                <w:szCs w:val="16"/>
              </w:rPr>
              <w:softHyphen/>
              <w:t>mento imediato.</w:t>
            </w:r>
          </w:p>
          <w:p w:rsidR="008D1C5A" w:rsidRPr="00DB26F9" w:rsidRDefault="008D1C5A" w:rsidP="00DB26F9">
            <w:pPr>
              <w:autoSpaceDE w:val="0"/>
              <w:autoSpaceDN w:val="0"/>
              <w:adjustRightInd w:val="0"/>
              <w:jc w:val="both"/>
              <w:rPr>
                <w:rFonts w:ascii="Arial" w:hAnsi="Arial" w:cs="Arial"/>
                <w:sz w:val="16"/>
                <w:szCs w:val="16"/>
              </w:rPr>
            </w:pPr>
            <w:r w:rsidRPr="00DB26F9">
              <w:rPr>
                <w:rFonts w:ascii="Arial" w:hAnsi="Arial" w:cs="Arial"/>
                <w:sz w:val="16"/>
                <w:szCs w:val="16"/>
              </w:rPr>
              <w:t xml:space="preserve">Deve-se </w:t>
            </w:r>
            <w:r w:rsidR="00FE3B1F" w:rsidRPr="00DB26F9">
              <w:rPr>
                <w:rFonts w:ascii="Arial" w:hAnsi="Arial" w:cs="Arial"/>
                <w:sz w:val="16"/>
                <w:szCs w:val="16"/>
              </w:rPr>
              <w:t>atender o período</w:t>
            </w:r>
            <w:r w:rsidR="007B7904">
              <w:rPr>
                <w:rFonts w:ascii="Arial" w:hAnsi="Arial" w:cs="Arial"/>
                <w:sz w:val="16"/>
                <w:szCs w:val="16"/>
              </w:rPr>
              <w:t xml:space="preserve"> </w:t>
            </w:r>
            <w:r w:rsidR="00FE3B1F" w:rsidRPr="00DB26F9">
              <w:rPr>
                <w:rFonts w:ascii="Arial" w:hAnsi="Arial" w:cs="Arial"/>
                <w:sz w:val="16"/>
                <w:szCs w:val="16"/>
              </w:rPr>
              <w:t>de</w:t>
            </w:r>
            <w:r w:rsidRPr="00DB26F9">
              <w:rPr>
                <w:rFonts w:ascii="Arial" w:hAnsi="Arial" w:cs="Arial"/>
                <w:sz w:val="16"/>
                <w:szCs w:val="16"/>
              </w:rPr>
              <w:t xml:space="preserve"> carência </w:t>
            </w:r>
            <w:r w:rsidR="005A1D85" w:rsidRPr="00DB26F9">
              <w:rPr>
                <w:rFonts w:ascii="Arial" w:hAnsi="Arial" w:cs="Arial"/>
                <w:sz w:val="16"/>
                <w:szCs w:val="16"/>
              </w:rPr>
              <w:t>da aplicação.</w:t>
            </w:r>
          </w:p>
        </w:tc>
      </w:tr>
      <w:tr w:rsidR="008D1C5A" w:rsidRPr="00DB26F9" w:rsidTr="00A47A05">
        <w:trPr>
          <w:trHeight w:val="739"/>
        </w:trPr>
        <w:tc>
          <w:tcPr>
            <w:tcW w:w="4252" w:type="dxa"/>
            <w:tcBorders>
              <w:top w:val="single" w:sz="4" w:space="0" w:color="auto"/>
              <w:bottom w:val="threeDEmboss" w:sz="12" w:space="0" w:color="auto"/>
              <w:right w:val="single" w:sz="4" w:space="0" w:color="auto"/>
            </w:tcBorders>
            <w:vAlign w:val="center"/>
          </w:tcPr>
          <w:p w:rsidR="008D1C5A" w:rsidRDefault="008D1C5A" w:rsidP="004040A0">
            <w:pPr>
              <w:autoSpaceDE w:val="0"/>
              <w:autoSpaceDN w:val="0"/>
              <w:adjustRightInd w:val="0"/>
              <w:jc w:val="both"/>
              <w:rPr>
                <w:rFonts w:ascii="Arial" w:hAnsi="Arial" w:cs="Arial"/>
                <w:bCs/>
                <w:sz w:val="14"/>
                <w:szCs w:val="14"/>
              </w:rPr>
            </w:pPr>
            <w:r w:rsidRPr="00DB26F9">
              <w:rPr>
                <w:rFonts w:ascii="Arial" w:hAnsi="Arial" w:cs="Arial"/>
                <w:b/>
                <w:sz w:val="16"/>
                <w:szCs w:val="16"/>
              </w:rPr>
              <w:t xml:space="preserve">Art. </w:t>
            </w:r>
            <w:r w:rsidR="004040A0">
              <w:rPr>
                <w:rFonts w:ascii="Arial" w:hAnsi="Arial" w:cs="Arial"/>
                <w:b/>
                <w:sz w:val="16"/>
                <w:szCs w:val="16"/>
              </w:rPr>
              <w:t>7</w:t>
            </w:r>
            <w:r w:rsidRPr="00DB26F9">
              <w:rPr>
                <w:rFonts w:ascii="Arial" w:hAnsi="Arial" w:cs="Arial"/>
                <w:b/>
                <w:sz w:val="16"/>
                <w:szCs w:val="16"/>
              </w:rPr>
              <w:t>º, inciso VII</w:t>
            </w:r>
            <w:r w:rsidRPr="00DB26F9">
              <w:rPr>
                <w:rFonts w:ascii="Arial" w:hAnsi="Arial" w:cs="Arial"/>
                <w:b/>
                <w:bCs/>
                <w:sz w:val="16"/>
                <w:szCs w:val="16"/>
              </w:rPr>
              <w:t xml:space="preserve"> -</w:t>
            </w:r>
            <w:r w:rsidR="007B7904">
              <w:rPr>
                <w:rFonts w:ascii="Arial" w:hAnsi="Arial" w:cs="Arial"/>
                <w:b/>
                <w:bCs/>
                <w:sz w:val="16"/>
                <w:szCs w:val="16"/>
              </w:rPr>
              <w:t xml:space="preserve"> </w:t>
            </w:r>
            <w:r w:rsidR="00610D14" w:rsidRPr="00610D14">
              <w:rPr>
                <w:rFonts w:ascii="Arial" w:hAnsi="Arial" w:cs="Arial"/>
                <w:bCs/>
                <w:sz w:val="16"/>
                <w:szCs w:val="16"/>
              </w:rPr>
              <w:t xml:space="preserve">Cotas de fundos de investimento em direitos creditórios, </w:t>
            </w:r>
            <w:r w:rsidR="00610D14" w:rsidRPr="00610D14">
              <w:rPr>
                <w:rFonts w:ascii="Arial" w:hAnsi="Arial" w:cs="Arial"/>
                <w:sz w:val="16"/>
                <w:szCs w:val="16"/>
              </w:rPr>
              <w:t>constituídos sob a forma de condomínio fechado; ou</w:t>
            </w:r>
            <w:r w:rsidR="00610D14" w:rsidRPr="00610D14">
              <w:rPr>
                <w:rFonts w:ascii="Arial" w:hAnsi="Arial" w:cs="Arial"/>
                <w:bCs/>
                <w:sz w:val="16"/>
                <w:szCs w:val="16"/>
              </w:rPr>
              <w:t xml:space="preserve"> Cotas de fundo de investimento classificados como renda fixa ou como referenciados em indicadores de desempenho de renda fixa que contenham em sua denominação a expressão “crédito privado</w:t>
            </w:r>
            <w:r w:rsidR="00610D14">
              <w:rPr>
                <w:rFonts w:ascii="Arial" w:hAnsi="Arial" w:cs="Arial"/>
                <w:bCs/>
                <w:sz w:val="14"/>
                <w:szCs w:val="14"/>
              </w:rPr>
              <w:t>”.</w:t>
            </w:r>
          </w:p>
          <w:p w:rsidR="00E830C3" w:rsidRPr="00DB26F9" w:rsidRDefault="00E830C3" w:rsidP="004040A0">
            <w:pPr>
              <w:autoSpaceDE w:val="0"/>
              <w:autoSpaceDN w:val="0"/>
              <w:adjustRightInd w:val="0"/>
              <w:jc w:val="both"/>
              <w:rPr>
                <w:rFonts w:ascii="Arial" w:hAnsi="Arial" w:cs="Arial"/>
                <w:bCs/>
                <w:sz w:val="16"/>
                <w:szCs w:val="16"/>
              </w:rPr>
            </w:pPr>
          </w:p>
        </w:tc>
        <w:tc>
          <w:tcPr>
            <w:tcW w:w="1543" w:type="dxa"/>
            <w:vMerge/>
            <w:tcBorders>
              <w:left w:val="single" w:sz="4" w:space="0" w:color="auto"/>
              <w:bottom w:val="threeDEmboss" w:sz="12" w:space="0" w:color="auto"/>
              <w:right w:val="single" w:sz="4" w:space="0" w:color="auto"/>
            </w:tcBorders>
            <w:vAlign w:val="center"/>
          </w:tcPr>
          <w:p w:rsidR="008D1C5A" w:rsidRPr="00DB26F9" w:rsidRDefault="008D1C5A" w:rsidP="00DB26F9">
            <w:pPr>
              <w:autoSpaceDE w:val="0"/>
              <w:autoSpaceDN w:val="0"/>
              <w:adjustRightInd w:val="0"/>
              <w:jc w:val="center"/>
              <w:rPr>
                <w:rFonts w:ascii="Arial" w:hAnsi="Arial" w:cs="Arial"/>
                <w:sz w:val="16"/>
                <w:szCs w:val="16"/>
              </w:rPr>
            </w:pPr>
          </w:p>
        </w:tc>
        <w:tc>
          <w:tcPr>
            <w:tcW w:w="1284" w:type="dxa"/>
            <w:vMerge/>
            <w:tcBorders>
              <w:left w:val="single" w:sz="4" w:space="0" w:color="auto"/>
              <w:bottom w:val="threeDEmboss" w:sz="12" w:space="0" w:color="auto"/>
            </w:tcBorders>
            <w:vAlign w:val="center"/>
          </w:tcPr>
          <w:p w:rsidR="008D1C5A" w:rsidRPr="00DB26F9" w:rsidRDefault="008D1C5A" w:rsidP="00DB26F9">
            <w:pPr>
              <w:autoSpaceDE w:val="0"/>
              <w:autoSpaceDN w:val="0"/>
              <w:adjustRightInd w:val="0"/>
              <w:jc w:val="center"/>
              <w:rPr>
                <w:rFonts w:ascii="Arial" w:hAnsi="Arial" w:cs="Arial"/>
                <w:sz w:val="16"/>
                <w:szCs w:val="16"/>
              </w:rPr>
            </w:pPr>
          </w:p>
        </w:tc>
        <w:tc>
          <w:tcPr>
            <w:tcW w:w="1818" w:type="dxa"/>
            <w:vMerge/>
            <w:tcBorders>
              <w:left w:val="single" w:sz="4" w:space="0" w:color="auto"/>
              <w:bottom w:val="threeDEmboss" w:sz="12" w:space="0" w:color="auto"/>
            </w:tcBorders>
            <w:vAlign w:val="center"/>
          </w:tcPr>
          <w:p w:rsidR="008D1C5A" w:rsidRPr="00DB26F9" w:rsidRDefault="008D1C5A" w:rsidP="00DB26F9">
            <w:pPr>
              <w:autoSpaceDE w:val="0"/>
              <w:autoSpaceDN w:val="0"/>
              <w:adjustRightInd w:val="0"/>
              <w:jc w:val="both"/>
              <w:rPr>
                <w:rFonts w:ascii="Arial" w:hAnsi="Arial" w:cs="Arial"/>
                <w:sz w:val="16"/>
                <w:szCs w:val="16"/>
              </w:rPr>
            </w:pPr>
          </w:p>
        </w:tc>
      </w:tr>
    </w:tbl>
    <w:p w:rsidR="0027460B" w:rsidRDefault="0027460B" w:rsidP="0027460B">
      <w:pPr>
        <w:tabs>
          <w:tab w:val="left" w:pos="1134"/>
        </w:tabs>
        <w:autoSpaceDE w:val="0"/>
        <w:autoSpaceDN w:val="0"/>
        <w:adjustRightInd w:val="0"/>
        <w:rPr>
          <w:rFonts w:ascii="Arial" w:hAnsi="Arial" w:cs="Arial"/>
          <w:b/>
          <w:bCs/>
          <w:smallCaps/>
        </w:rPr>
      </w:pPr>
    </w:p>
    <w:p w:rsidR="00E830C3" w:rsidRDefault="00E830C3" w:rsidP="0027460B">
      <w:pPr>
        <w:tabs>
          <w:tab w:val="left" w:pos="1134"/>
        </w:tabs>
        <w:autoSpaceDE w:val="0"/>
        <w:autoSpaceDN w:val="0"/>
        <w:adjustRightInd w:val="0"/>
        <w:rPr>
          <w:rFonts w:ascii="Arial" w:hAnsi="Arial" w:cs="Arial"/>
          <w:b/>
          <w:bCs/>
          <w:smallCaps/>
        </w:rPr>
      </w:pPr>
    </w:p>
    <w:p w:rsidR="00E830C3" w:rsidRDefault="00E830C3" w:rsidP="0027460B">
      <w:pPr>
        <w:tabs>
          <w:tab w:val="left" w:pos="1134"/>
        </w:tabs>
        <w:autoSpaceDE w:val="0"/>
        <w:autoSpaceDN w:val="0"/>
        <w:adjustRightInd w:val="0"/>
        <w:rPr>
          <w:rFonts w:ascii="Arial" w:hAnsi="Arial" w:cs="Arial"/>
          <w:b/>
          <w:bCs/>
          <w:smallCaps/>
        </w:rPr>
      </w:pPr>
    </w:p>
    <w:p w:rsidR="00E830C3" w:rsidRDefault="00E830C3" w:rsidP="0027460B">
      <w:pPr>
        <w:tabs>
          <w:tab w:val="left" w:pos="1134"/>
        </w:tabs>
        <w:autoSpaceDE w:val="0"/>
        <w:autoSpaceDN w:val="0"/>
        <w:adjustRightInd w:val="0"/>
        <w:rPr>
          <w:rFonts w:ascii="Arial" w:hAnsi="Arial" w:cs="Arial"/>
          <w:b/>
          <w:bCs/>
          <w:smallCaps/>
        </w:rPr>
      </w:pPr>
    </w:p>
    <w:tbl>
      <w:tblPr>
        <w:tblW w:w="0" w:type="auto"/>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ook w:val="01E0" w:firstRow="1" w:lastRow="1" w:firstColumn="1" w:lastColumn="1" w:noHBand="0" w:noVBand="0"/>
      </w:tblPr>
      <w:tblGrid>
        <w:gridCol w:w="4252"/>
        <w:gridCol w:w="1543"/>
        <w:gridCol w:w="1284"/>
        <w:gridCol w:w="1818"/>
      </w:tblGrid>
      <w:tr w:rsidR="00134CB0" w:rsidRPr="00DB26F9" w:rsidTr="00A47A05">
        <w:trPr>
          <w:trHeight w:val="454"/>
        </w:trPr>
        <w:tc>
          <w:tcPr>
            <w:tcW w:w="4252" w:type="dxa"/>
            <w:tcBorders>
              <w:top w:val="threeDEmboss" w:sz="12" w:space="0" w:color="auto"/>
              <w:bottom w:val="single" w:sz="12" w:space="0" w:color="auto"/>
              <w:right w:val="single" w:sz="4" w:space="0" w:color="auto"/>
            </w:tcBorders>
            <w:shd w:val="clear" w:color="auto" w:fill="D6E3BC"/>
            <w:vAlign w:val="center"/>
          </w:tcPr>
          <w:p w:rsidR="00134CB0" w:rsidRPr="00DB26F9" w:rsidRDefault="00134CB0" w:rsidP="00DB26F9">
            <w:pPr>
              <w:autoSpaceDE w:val="0"/>
              <w:autoSpaceDN w:val="0"/>
              <w:adjustRightInd w:val="0"/>
              <w:jc w:val="center"/>
              <w:rPr>
                <w:rFonts w:ascii="Arial" w:hAnsi="Arial" w:cs="Arial"/>
                <w:b/>
                <w:sz w:val="16"/>
                <w:szCs w:val="16"/>
              </w:rPr>
            </w:pPr>
            <w:r w:rsidRPr="00DB26F9">
              <w:rPr>
                <w:rFonts w:ascii="Arial" w:hAnsi="Arial" w:cs="Arial"/>
                <w:b/>
                <w:sz w:val="16"/>
                <w:szCs w:val="16"/>
              </w:rPr>
              <w:t>Segmento de Renda Variável</w:t>
            </w:r>
          </w:p>
        </w:tc>
        <w:tc>
          <w:tcPr>
            <w:tcW w:w="1543" w:type="dxa"/>
            <w:tcBorders>
              <w:top w:val="threeDEmboss" w:sz="12" w:space="0" w:color="auto"/>
              <w:left w:val="single" w:sz="4" w:space="0" w:color="auto"/>
              <w:bottom w:val="single" w:sz="12" w:space="0" w:color="auto"/>
              <w:right w:val="single" w:sz="4" w:space="0" w:color="auto"/>
            </w:tcBorders>
            <w:shd w:val="clear" w:color="auto" w:fill="D6E3BC"/>
            <w:vAlign w:val="center"/>
          </w:tcPr>
          <w:p w:rsidR="00134CB0" w:rsidRPr="00DB26F9" w:rsidRDefault="00134CB0" w:rsidP="00DB26F9">
            <w:pPr>
              <w:autoSpaceDE w:val="0"/>
              <w:autoSpaceDN w:val="0"/>
              <w:adjustRightInd w:val="0"/>
              <w:jc w:val="center"/>
              <w:rPr>
                <w:rFonts w:ascii="Arial" w:hAnsi="Arial" w:cs="Arial"/>
                <w:b/>
                <w:sz w:val="16"/>
                <w:szCs w:val="16"/>
              </w:rPr>
            </w:pPr>
            <w:r w:rsidRPr="00DB26F9">
              <w:rPr>
                <w:rFonts w:ascii="Arial" w:hAnsi="Arial" w:cs="Arial"/>
                <w:b/>
                <w:sz w:val="16"/>
                <w:szCs w:val="16"/>
              </w:rPr>
              <w:t>Período de</w:t>
            </w:r>
          </w:p>
          <w:p w:rsidR="00134CB0" w:rsidRPr="00DB26F9" w:rsidRDefault="00134CB0" w:rsidP="00DB26F9">
            <w:pPr>
              <w:autoSpaceDE w:val="0"/>
              <w:autoSpaceDN w:val="0"/>
              <w:adjustRightInd w:val="0"/>
              <w:jc w:val="center"/>
              <w:rPr>
                <w:rFonts w:ascii="Arial" w:hAnsi="Arial" w:cs="Arial"/>
                <w:b/>
                <w:sz w:val="16"/>
                <w:szCs w:val="16"/>
              </w:rPr>
            </w:pPr>
            <w:r w:rsidRPr="00DB26F9">
              <w:rPr>
                <w:rFonts w:ascii="Arial" w:hAnsi="Arial" w:cs="Arial"/>
                <w:b/>
                <w:sz w:val="16"/>
                <w:szCs w:val="16"/>
              </w:rPr>
              <w:t>Avaliação</w:t>
            </w:r>
          </w:p>
        </w:tc>
        <w:tc>
          <w:tcPr>
            <w:tcW w:w="1284" w:type="dxa"/>
            <w:tcBorders>
              <w:top w:val="threeDEmboss" w:sz="12" w:space="0" w:color="auto"/>
              <w:left w:val="single" w:sz="4" w:space="0" w:color="auto"/>
              <w:bottom w:val="single" w:sz="12" w:space="0" w:color="auto"/>
            </w:tcBorders>
            <w:shd w:val="clear" w:color="auto" w:fill="D6E3BC"/>
            <w:vAlign w:val="center"/>
          </w:tcPr>
          <w:p w:rsidR="00134CB0" w:rsidRPr="00DB26F9" w:rsidRDefault="00134CB0" w:rsidP="00DB26F9">
            <w:pPr>
              <w:autoSpaceDE w:val="0"/>
              <w:autoSpaceDN w:val="0"/>
              <w:adjustRightInd w:val="0"/>
              <w:jc w:val="center"/>
              <w:rPr>
                <w:rFonts w:ascii="Arial" w:hAnsi="Arial" w:cs="Arial"/>
                <w:b/>
                <w:sz w:val="16"/>
                <w:szCs w:val="16"/>
              </w:rPr>
            </w:pPr>
            <w:r w:rsidRPr="00DB26F9">
              <w:rPr>
                <w:rFonts w:ascii="Arial" w:hAnsi="Arial" w:cs="Arial"/>
                <w:b/>
                <w:sz w:val="16"/>
                <w:szCs w:val="16"/>
              </w:rPr>
              <w:t>Critério de</w:t>
            </w:r>
          </w:p>
          <w:p w:rsidR="00134CB0" w:rsidRPr="00DB26F9" w:rsidRDefault="00134CB0" w:rsidP="00DB26F9">
            <w:pPr>
              <w:autoSpaceDE w:val="0"/>
              <w:autoSpaceDN w:val="0"/>
              <w:adjustRightInd w:val="0"/>
              <w:jc w:val="center"/>
              <w:rPr>
                <w:rFonts w:ascii="Arial" w:hAnsi="Arial" w:cs="Arial"/>
                <w:b/>
                <w:sz w:val="16"/>
                <w:szCs w:val="16"/>
              </w:rPr>
            </w:pPr>
            <w:r w:rsidRPr="00DB26F9">
              <w:rPr>
                <w:rFonts w:ascii="Arial" w:hAnsi="Arial" w:cs="Arial"/>
                <w:b/>
                <w:sz w:val="16"/>
                <w:szCs w:val="16"/>
              </w:rPr>
              <w:t>Desempenho</w:t>
            </w:r>
          </w:p>
          <w:p w:rsidR="00134CB0" w:rsidRPr="00DB26F9" w:rsidRDefault="00134CB0" w:rsidP="00DB26F9">
            <w:pPr>
              <w:autoSpaceDE w:val="0"/>
              <w:autoSpaceDN w:val="0"/>
              <w:adjustRightInd w:val="0"/>
              <w:jc w:val="center"/>
              <w:rPr>
                <w:rFonts w:ascii="Arial" w:hAnsi="Arial" w:cs="Arial"/>
                <w:b/>
                <w:sz w:val="16"/>
                <w:szCs w:val="16"/>
              </w:rPr>
            </w:pPr>
            <w:r w:rsidRPr="00DB26F9">
              <w:rPr>
                <w:rFonts w:ascii="Arial" w:hAnsi="Arial" w:cs="Arial"/>
                <w:b/>
                <w:sz w:val="16"/>
                <w:szCs w:val="16"/>
              </w:rPr>
              <w:t>Insatisfatório</w:t>
            </w:r>
          </w:p>
        </w:tc>
        <w:tc>
          <w:tcPr>
            <w:tcW w:w="1818" w:type="dxa"/>
            <w:tcBorders>
              <w:top w:val="threeDEmboss" w:sz="12" w:space="0" w:color="auto"/>
              <w:left w:val="single" w:sz="4" w:space="0" w:color="auto"/>
              <w:bottom w:val="single" w:sz="12" w:space="0" w:color="auto"/>
            </w:tcBorders>
            <w:shd w:val="clear" w:color="auto" w:fill="D6E3BC"/>
            <w:vAlign w:val="center"/>
          </w:tcPr>
          <w:p w:rsidR="00134CB0" w:rsidRPr="00DB26F9" w:rsidRDefault="00134CB0" w:rsidP="00DB26F9">
            <w:pPr>
              <w:autoSpaceDE w:val="0"/>
              <w:autoSpaceDN w:val="0"/>
              <w:adjustRightInd w:val="0"/>
              <w:jc w:val="center"/>
              <w:rPr>
                <w:rFonts w:ascii="Arial" w:hAnsi="Arial" w:cs="Arial"/>
                <w:b/>
                <w:sz w:val="16"/>
                <w:szCs w:val="16"/>
              </w:rPr>
            </w:pPr>
            <w:r w:rsidRPr="00DB26F9">
              <w:rPr>
                <w:rFonts w:ascii="Arial" w:hAnsi="Arial" w:cs="Arial"/>
                <w:b/>
                <w:sz w:val="16"/>
                <w:szCs w:val="16"/>
              </w:rPr>
              <w:t>Observações</w:t>
            </w:r>
          </w:p>
        </w:tc>
      </w:tr>
      <w:tr w:rsidR="0027460B" w:rsidRPr="00DB26F9" w:rsidTr="00A47A05">
        <w:trPr>
          <w:trHeight w:val="198"/>
        </w:trPr>
        <w:tc>
          <w:tcPr>
            <w:tcW w:w="4252" w:type="dxa"/>
            <w:tcBorders>
              <w:top w:val="single" w:sz="4" w:space="0" w:color="auto"/>
              <w:bottom w:val="single" w:sz="4" w:space="0" w:color="auto"/>
              <w:right w:val="single" w:sz="4" w:space="0" w:color="auto"/>
            </w:tcBorders>
            <w:vAlign w:val="center"/>
          </w:tcPr>
          <w:p w:rsidR="0027460B" w:rsidRPr="00DB26F9" w:rsidRDefault="0027460B" w:rsidP="00610D14">
            <w:pPr>
              <w:autoSpaceDE w:val="0"/>
              <w:autoSpaceDN w:val="0"/>
              <w:adjustRightInd w:val="0"/>
              <w:jc w:val="both"/>
              <w:rPr>
                <w:rFonts w:ascii="Arial" w:hAnsi="Arial" w:cs="Arial"/>
                <w:bCs/>
                <w:sz w:val="16"/>
                <w:szCs w:val="16"/>
              </w:rPr>
            </w:pPr>
            <w:r w:rsidRPr="00DB26F9">
              <w:rPr>
                <w:rFonts w:ascii="Arial" w:hAnsi="Arial" w:cs="Arial"/>
                <w:b/>
                <w:sz w:val="16"/>
                <w:szCs w:val="16"/>
              </w:rPr>
              <w:t xml:space="preserve">Art. </w:t>
            </w:r>
            <w:r w:rsidR="00610D14">
              <w:rPr>
                <w:rFonts w:ascii="Arial" w:hAnsi="Arial" w:cs="Arial"/>
                <w:b/>
                <w:sz w:val="16"/>
                <w:szCs w:val="16"/>
              </w:rPr>
              <w:t>8</w:t>
            </w:r>
            <w:r w:rsidRPr="00DB26F9">
              <w:rPr>
                <w:rFonts w:ascii="Arial" w:hAnsi="Arial" w:cs="Arial"/>
                <w:b/>
                <w:sz w:val="16"/>
                <w:szCs w:val="16"/>
              </w:rPr>
              <w:t>º, inciso I</w:t>
            </w:r>
            <w:r w:rsidR="00206E20">
              <w:rPr>
                <w:rFonts w:ascii="Arial" w:hAnsi="Arial" w:cs="Arial"/>
                <w:b/>
                <w:bCs/>
                <w:sz w:val="16"/>
                <w:szCs w:val="16"/>
              </w:rPr>
              <w:t>–</w:t>
            </w:r>
            <w:r w:rsidR="00610D14" w:rsidRPr="00610D14">
              <w:rPr>
                <w:rFonts w:ascii="Arial" w:hAnsi="Arial" w:cs="Arial"/>
                <w:bCs/>
                <w:sz w:val="16"/>
                <w:szCs w:val="16"/>
              </w:rPr>
              <w:t>Em</w:t>
            </w:r>
            <w:r w:rsidR="00206E20">
              <w:rPr>
                <w:rFonts w:ascii="Arial" w:hAnsi="Arial" w:cs="Arial"/>
                <w:bCs/>
                <w:sz w:val="16"/>
                <w:szCs w:val="16"/>
              </w:rPr>
              <w:t xml:space="preserve"> cotas de</w:t>
            </w:r>
            <w:r w:rsidR="00610D14" w:rsidRPr="00610D14">
              <w:rPr>
                <w:rFonts w:ascii="Arial" w:hAnsi="Arial" w:cs="Arial"/>
                <w:bCs/>
                <w:sz w:val="16"/>
                <w:szCs w:val="16"/>
              </w:rPr>
              <w:t xml:space="preserve"> fundos de investimento, </w:t>
            </w:r>
            <w:r w:rsidR="00610D14" w:rsidRPr="00610D14">
              <w:rPr>
                <w:rFonts w:ascii="Arial" w:hAnsi="Arial" w:cs="Arial"/>
                <w:sz w:val="16"/>
                <w:szCs w:val="16"/>
              </w:rPr>
              <w:t>constituídos sob a forma de condomínio aberto e classificados como referenciados que identifiquem em sua denominação e em sua política de investimento indicador de desempenho vinculado ao índice Ibovespa, IBrX ou IBrX-50.</w:t>
            </w:r>
          </w:p>
        </w:tc>
        <w:tc>
          <w:tcPr>
            <w:tcW w:w="1543" w:type="dxa"/>
            <w:vMerge w:val="restart"/>
            <w:tcBorders>
              <w:top w:val="single" w:sz="12" w:space="0" w:color="auto"/>
              <w:left w:val="single" w:sz="4" w:space="0" w:color="auto"/>
              <w:bottom w:val="threeDEngrave" w:sz="12" w:space="0" w:color="auto"/>
              <w:right w:val="single" w:sz="4" w:space="0" w:color="auto"/>
            </w:tcBorders>
            <w:vAlign w:val="center"/>
          </w:tcPr>
          <w:p w:rsidR="0027460B" w:rsidRPr="00DB26F9" w:rsidRDefault="0027460B" w:rsidP="00610D14">
            <w:pPr>
              <w:autoSpaceDE w:val="0"/>
              <w:autoSpaceDN w:val="0"/>
              <w:adjustRightInd w:val="0"/>
              <w:jc w:val="center"/>
              <w:rPr>
                <w:rFonts w:ascii="Arial" w:hAnsi="Arial" w:cs="Arial"/>
                <w:sz w:val="16"/>
                <w:szCs w:val="16"/>
              </w:rPr>
            </w:pPr>
            <w:r w:rsidRPr="00DB26F9">
              <w:rPr>
                <w:rFonts w:ascii="Arial" w:hAnsi="Arial" w:cs="Arial"/>
                <w:sz w:val="16"/>
                <w:szCs w:val="16"/>
              </w:rPr>
              <w:t xml:space="preserve">1 (um) </w:t>
            </w:r>
            <w:r w:rsidR="00610D14">
              <w:rPr>
                <w:rFonts w:ascii="Arial" w:hAnsi="Arial" w:cs="Arial"/>
                <w:sz w:val="16"/>
                <w:szCs w:val="16"/>
              </w:rPr>
              <w:t>tri</w:t>
            </w:r>
            <w:r w:rsidRPr="00DB26F9">
              <w:rPr>
                <w:rFonts w:ascii="Arial" w:hAnsi="Arial" w:cs="Arial"/>
                <w:sz w:val="16"/>
                <w:szCs w:val="16"/>
              </w:rPr>
              <w:t>mestre</w:t>
            </w:r>
          </w:p>
        </w:tc>
        <w:tc>
          <w:tcPr>
            <w:tcW w:w="1284" w:type="dxa"/>
            <w:vMerge w:val="restart"/>
            <w:tcBorders>
              <w:top w:val="single" w:sz="12"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r w:rsidRPr="00DB26F9">
              <w:rPr>
                <w:rFonts w:ascii="Arial" w:hAnsi="Arial" w:cs="Arial"/>
                <w:sz w:val="16"/>
                <w:szCs w:val="16"/>
              </w:rPr>
              <w:t>Diferença de</w:t>
            </w:r>
          </w:p>
          <w:p w:rsidR="0027460B" w:rsidRPr="00DB26F9" w:rsidRDefault="0027460B" w:rsidP="00DB26F9">
            <w:pPr>
              <w:autoSpaceDE w:val="0"/>
              <w:autoSpaceDN w:val="0"/>
              <w:adjustRightInd w:val="0"/>
              <w:jc w:val="center"/>
              <w:rPr>
                <w:rFonts w:ascii="Arial" w:hAnsi="Arial" w:cs="Arial"/>
                <w:sz w:val="16"/>
                <w:szCs w:val="16"/>
              </w:rPr>
            </w:pPr>
            <w:r w:rsidRPr="00DB26F9">
              <w:rPr>
                <w:rFonts w:ascii="Arial" w:hAnsi="Arial" w:cs="Arial"/>
                <w:sz w:val="16"/>
                <w:szCs w:val="16"/>
              </w:rPr>
              <w:t>0,50% de</w:t>
            </w:r>
          </w:p>
          <w:p w:rsidR="0027460B" w:rsidRPr="00DB26F9" w:rsidRDefault="0027460B" w:rsidP="00DB26F9">
            <w:pPr>
              <w:autoSpaceDE w:val="0"/>
              <w:autoSpaceDN w:val="0"/>
              <w:adjustRightInd w:val="0"/>
              <w:jc w:val="center"/>
              <w:rPr>
                <w:rFonts w:ascii="Arial" w:hAnsi="Arial" w:cs="Arial"/>
                <w:sz w:val="16"/>
                <w:szCs w:val="16"/>
              </w:rPr>
            </w:pPr>
            <w:r w:rsidRPr="00DB26F9">
              <w:rPr>
                <w:rFonts w:ascii="Arial" w:hAnsi="Arial" w:cs="Arial"/>
                <w:sz w:val="16"/>
                <w:szCs w:val="16"/>
              </w:rPr>
              <w:t>distância</w:t>
            </w:r>
          </w:p>
          <w:p w:rsidR="0027460B" w:rsidRPr="00DB26F9" w:rsidRDefault="0027460B" w:rsidP="00DB26F9">
            <w:pPr>
              <w:autoSpaceDE w:val="0"/>
              <w:autoSpaceDN w:val="0"/>
              <w:adjustRightInd w:val="0"/>
              <w:jc w:val="center"/>
              <w:rPr>
                <w:rFonts w:ascii="Arial" w:hAnsi="Arial" w:cs="Arial"/>
                <w:sz w:val="16"/>
                <w:szCs w:val="16"/>
              </w:rPr>
            </w:pPr>
            <w:r w:rsidRPr="00DB26F9">
              <w:rPr>
                <w:rFonts w:ascii="Arial" w:hAnsi="Arial" w:cs="Arial"/>
                <w:sz w:val="16"/>
                <w:szCs w:val="16"/>
              </w:rPr>
              <w:t xml:space="preserve">abaixo do </w:t>
            </w:r>
          </w:p>
          <w:p w:rsidR="0027460B" w:rsidRPr="00DB26F9" w:rsidRDefault="0027460B" w:rsidP="00DB26F9">
            <w:pPr>
              <w:autoSpaceDE w:val="0"/>
              <w:autoSpaceDN w:val="0"/>
              <w:adjustRightInd w:val="0"/>
              <w:jc w:val="center"/>
              <w:rPr>
                <w:rFonts w:ascii="Arial" w:hAnsi="Arial" w:cs="Arial"/>
                <w:b/>
                <w:sz w:val="16"/>
                <w:szCs w:val="16"/>
              </w:rPr>
            </w:pPr>
            <w:r w:rsidRPr="00DB26F9">
              <w:rPr>
                <w:rFonts w:ascii="Arial" w:hAnsi="Arial" w:cs="Arial"/>
                <w:b/>
                <w:i/>
                <w:sz w:val="16"/>
                <w:szCs w:val="16"/>
              </w:rPr>
              <w:t xml:space="preserve">benchmark </w:t>
            </w:r>
            <w:r w:rsidRPr="00DB26F9">
              <w:rPr>
                <w:rFonts w:ascii="Arial" w:hAnsi="Arial" w:cs="Arial"/>
                <w:b/>
                <w:sz w:val="16"/>
                <w:szCs w:val="16"/>
              </w:rPr>
              <w:t>do fundo</w:t>
            </w:r>
          </w:p>
        </w:tc>
        <w:tc>
          <w:tcPr>
            <w:tcW w:w="1818" w:type="dxa"/>
            <w:vMerge w:val="restart"/>
            <w:tcBorders>
              <w:top w:val="single" w:sz="12"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spacing w:after="120"/>
              <w:jc w:val="both"/>
              <w:rPr>
                <w:rFonts w:ascii="Arial" w:hAnsi="Arial" w:cs="Arial"/>
                <w:sz w:val="16"/>
                <w:szCs w:val="16"/>
              </w:rPr>
            </w:pPr>
            <w:r w:rsidRPr="00DB26F9">
              <w:rPr>
                <w:rFonts w:ascii="Arial" w:hAnsi="Arial" w:cs="Arial"/>
                <w:sz w:val="16"/>
                <w:szCs w:val="16"/>
              </w:rPr>
              <w:t>Migração dos recursos para outro produto no mesmo segmento me</w:t>
            </w:r>
            <w:r w:rsidRPr="00DB26F9">
              <w:rPr>
                <w:rFonts w:ascii="Arial" w:hAnsi="Arial" w:cs="Arial"/>
                <w:sz w:val="16"/>
                <w:szCs w:val="16"/>
              </w:rPr>
              <w:softHyphen/>
              <w:t>lhor rentabilizado.</w:t>
            </w:r>
          </w:p>
          <w:p w:rsidR="0027460B" w:rsidRPr="00DB26F9" w:rsidRDefault="0027460B" w:rsidP="00DB26F9">
            <w:pPr>
              <w:autoSpaceDE w:val="0"/>
              <w:autoSpaceDN w:val="0"/>
              <w:adjustRightInd w:val="0"/>
              <w:jc w:val="both"/>
              <w:rPr>
                <w:rFonts w:ascii="Arial" w:hAnsi="Arial" w:cs="Arial"/>
                <w:sz w:val="16"/>
                <w:szCs w:val="16"/>
              </w:rPr>
            </w:pPr>
            <w:r w:rsidRPr="00DB26F9">
              <w:rPr>
                <w:rFonts w:ascii="Arial" w:hAnsi="Arial" w:cs="Arial"/>
                <w:sz w:val="16"/>
                <w:szCs w:val="16"/>
              </w:rPr>
              <w:t>Deve-se atender o período de carência da aplicação.</w:t>
            </w:r>
          </w:p>
        </w:tc>
      </w:tr>
      <w:tr w:rsidR="0027460B" w:rsidRPr="00DB26F9" w:rsidTr="00A47A05">
        <w:trPr>
          <w:trHeight w:val="198"/>
        </w:trPr>
        <w:tc>
          <w:tcPr>
            <w:tcW w:w="4252" w:type="dxa"/>
            <w:tcBorders>
              <w:top w:val="single" w:sz="4" w:space="0" w:color="auto"/>
              <w:bottom w:val="single" w:sz="4" w:space="0" w:color="auto"/>
              <w:right w:val="single" w:sz="4" w:space="0" w:color="auto"/>
            </w:tcBorders>
            <w:vAlign w:val="center"/>
          </w:tcPr>
          <w:p w:rsidR="0027460B" w:rsidRPr="00DB26F9" w:rsidRDefault="0027460B" w:rsidP="00610D14">
            <w:pPr>
              <w:autoSpaceDE w:val="0"/>
              <w:autoSpaceDN w:val="0"/>
              <w:adjustRightInd w:val="0"/>
              <w:jc w:val="both"/>
              <w:rPr>
                <w:rFonts w:ascii="Arial" w:hAnsi="Arial" w:cs="Arial"/>
                <w:b/>
                <w:sz w:val="16"/>
                <w:szCs w:val="16"/>
              </w:rPr>
            </w:pPr>
            <w:r w:rsidRPr="00DB26F9">
              <w:rPr>
                <w:rFonts w:ascii="Arial" w:hAnsi="Arial" w:cs="Arial"/>
                <w:b/>
                <w:sz w:val="16"/>
                <w:szCs w:val="16"/>
              </w:rPr>
              <w:t xml:space="preserve">Art. </w:t>
            </w:r>
            <w:r w:rsidR="00610D14">
              <w:rPr>
                <w:rFonts w:ascii="Arial" w:hAnsi="Arial" w:cs="Arial"/>
                <w:b/>
                <w:sz w:val="16"/>
                <w:szCs w:val="16"/>
              </w:rPr>
              <w:t>8</w:t>
            </w:r>
            <w:r w:rsidRPr="00DB26F9">
              <w:rPr>
                <w:rFonts w:ascii="Arial" w:hAnsi="Arial" w:cs="Arial"/>
                <w:b/>
                <w:sz w:val="16"/>
                <w:szCs w:val="16"/>
              </w:rPr>
              <w:t>º, inciso I</w:t>
            </w:r>
            <w:r w:rsidRPr="00DB26F9">
              <w:rPr>
                <w:rFonts w:ascii="Arial" w:hAnsi="Arial" w:cs="Arial"/>
                <w:b/>
                <w:bCs/>
                <w:sz w:val="16"/>
                <w:szCs w:val="16"/>
              </w:rPr>
              <w:t>I -</w:t>
            </w:r>
            <w:r w:rsidRPr="00DB26F9">
              <w:rPr>
                <w:rFonts w:ascii="Arial" w:hAnsi="Arial" w:cs="Arial"/>
                <w:bCs/>
                <w:sz w:val="16"/>
                <w:szCs w:val="16"/>
              </w:rPr>
              <w:t xml:space="preserve"> Cotas de fundos de índices </w:t>
            </w:r>
            <w:r w:rsidRPr="00DB26F9">
              <w:rPr>
                <w:rFonts w:ascii="Arial" w:hAnsi="Arial" w:cs="Arial"/>
                <w:sz w:val="16"/>
                <w:szCs w:val="16"/>
              </w:rPr>
              <w:t>referenciados em ações, negociadas em bolsa de valores, admitindo-se exclusivamente os índices Ibovespa, IBrX e IBrX-50</w:t>
            </w:r>
          </w:p>
        </w:tc>
        <w:tc>
          <w:tcPr>
            <w:tcW w:w="1543" w:type="dxa"/>
            <w:vMerge/>
            <w:tcBorders>
              <w:top w:val="single" w:sz="4" w:space="0" w:color="auto"/>
              <w:left w:val="single" w:sz="4" w:space="0" w:color="auto"/>
              <w:bottom w:val="threeDEngrave" w:sz="12" w:space="0" w:color="auto"/>
              <w:right w:val="single" w:sz="4"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c>
          <w:tcPr>
            <w:tcW w:w="1284" w:type="dxa"/>
            <w:vMerge/>
            <w:tcBorders>
              <w:top w:val="single" w:sz="4"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c>
          <w:tcPr>
            <w:tcW w:w="1818" w:type="dxa"/>
            <w:vMerge/>
            <w:tcBorders>
              <w:top w:val="single" w:sz="4"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jc w:val="both"/>
              <w:rPr>
                <w:rFonts w:ascii="Arial" w:hAnsi="Arial" w:cs="Arial"/>
                <w:sz w:val="16"/>
                <w:szCs w:val="16"/>
              </w:rPr>
            </w:pPr>
          </w:p>
        </w:tc>
      </w:tr>
      <w:tr w:rsidR="0027460B" w:rsidRPr="00DB26F9" w:rsidTr="00A47A05">
        <w:trPr>
          <w:trHeight w:val="198"/>
        </w:trPr>
        <w:tc>
          <w:tcPr>
            <w:tcW w:w="4252" w:type="dxa"/>
            <w:tcBorders>
              <w:top w:val="single" w:sz="4" w:space="0" w:color="auto"/>
              <w:bottom w:val="single" w:sz="4" w:space="0" w:color="auto"/>
              <w:right w:val="single" w:sz="4" w:space="0" w:color="auto"/>
            </w:tcBorders>
            <w:vAlign w:val="center"/>
          </w:tcPr>
          <w:p w:rsidR="0027460B" w:rsidRPr="00DB26F9" w:rsidRDefault="00610D14" w:rsidP="00610D14">
            <w:pPr>
              <w:autoSpaceDE w:val="0"/>
              <w:autoSpaceDN w:val="0"/>
              <w:adjustRightInd w:val="0"/>
              <w:jc w:val="both"/>
              <w:rPr>
                <w:rFonts w:ascii="Arial" w:hAnsi="Arial" w:cs="Arial"/>
                <w:bCs/>
                <w:sz w:val="16"/>
                <w:szCs w:val="16"/>
              </w:rPr>
            </w:pPr>
            <w:r>
              <w:rPr>
                <w:rFonts w:ascii="Arial" w:hAnsi="Arial" w:cs="Arial"/>
                <w:b/>
                <w:sz w:val="16"/>
                <w:szCs w:val="16"/>
              </w:rPr>
              <w:t>Art. 8</w:t>
            </w:r>
            <w:r w:rsidR="0027460B" w:rsidRPr="00DB26F9">
              <w:rPr>
                <w:rFonts w:ascii="Arial" w:hAnsi="Arial" w:cs="Arial"/>
                <w:b/>
                <w:sz w:val="16"/>
                <w:szCs w:val="16"/>
              </w:rPr>
              <w:t>º, inciso II</w:t>
            </w:r>
            <w:r w:rsidR="0027460B" w:rsidRPr="00DB26F9">
              <w:rPr>
                <w:rFonts w:ascii="Arial" w:hAnsi="Arial" w:cs="Arial"/>
                <w:b/>
                <w:bCs/>
                <w:sz w:val="16"/>
                <w:szCs w:val="16"/>
              </w:rPr>
              <w:t>I -</w:t>
            </w:r>
            <w:r w:rsidR="0027460B" w:rsidRPr="00DB26F9">
              <w:rPr>
                <w:rFonts w:ascii="Arial" w:hAnsi="Arial" w:cs="Arial"/>
                <w:bCs/>
                <w:sz w:val="16"/>
                <w:szCs w:val="16"/>
              </w:rPr>
              <w:t xml:space="preserve"> Cotas de fundos de investimento em ações </w:t>
            </w:r>
            <w:r w:rsidR="0027460B" w:rsidRPr="00DB26F9">
              <w:rPr>
                <w:rFonts w:ascii="Arial" w:hAnsi="Arial" w:cs="Arial"/>
                <w:sz w:val="16"/>
                <w:szCs w:val="16"/>
              </w:rPr>
              <w:t>constituídos sob a forma de condomínio aberto, cujos regulamentos dos fundos determinem que as cotas de fundos de índices referenciados em ações que compõem suas carteiras estejam no âmbito dos índices previstos no inciso II deste artigo</w:t>
            </w:r>
          </w:p>
        </w:tc>
        <w:tc>
          <w:tcPr>
            <w:tcW w:w="1543" w:type="dxa"/>
            <w:vMerge/>
            <w:tcBorders>
              <w:top w:val="single" w:sz="4" w:space="0" w:color="auto"/>
              <w:left w:val="single" w:sz="4" w:space="0" w:color="auto"/>
              <w:bottom w:val="threeDEngrave" w:sz="12" w:space="0" w:color="auto"/>
              <w:right w:val="single" w:sz="4"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c>
          <w:tcPr>
            <w:tcW w:w="1284" w:type="dxa"/>
            <w:vMerge/>
            <w:tcBorders>
              <w:top w:val="single" w:sz="4"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c>
          <w:tcPr>
            <w:tcW w:w="1818" w:type="dxa"/>
            <w:vMerge/>
            <w:tcBorders>
              <w:top w:val="single" w:sz="4"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r>
      <w:tr w:rsidR="0027460B" w:rsidRPr="00DB26F9" w:rsidTr="00A47A05">
        <w:trPr>
          <w:trHeight w:val="198"/>
        </w:trPr>
        <w:tc>
          <w:tcPr>
            <w:tcW w:w="4252" w:type="dxa"/>
            <w:tcBorders>
              <w:top w:val="single" w:sz="4" w:space="0" w:color="auto"/>
              <w:bottom w:val="single" w:sz="4" w:space="0" w:color="auto"/>
              <w:right w:val="single" w:sz="4" w:space="0" w:color="auto"/>
            </w:tcBorders>
            <w:vAlign w:val="center"/>
          </w:tcPr>
          <w:p w:rsidR="0027460B" w:rsidRPr="00DB26F9" w:rsidRDefault="00610D14" w:rsidP="00DB26F9">
            <w:pPr>
              <w:autoSpaceDE w:val="0"/>
              <w:autoSpaceDN w:val="0"/>
              <w:adjustRightInd w:val="0"/>
              <w:jc w:val="both"/>
              <w:rPr>
                <w:rFonts w:ascii="Arial" w:hAnsi="Arial" w:cs="Arial"/>
                <w:b/>
                <w:sz w:val="16"/>
                <w:szCs w:val="16"/>
              </w:rPr>
            </w:pPr>
            <w:r>
              <w:rPr>
                <w:rFonts w:ascii="Arial" w:hAnsi="Arial" w:cs="Arial"/>
                <w:b/>
                <w:sz w:val="16"/>
                <w:szCs w:val="16"/>
              </w:rPr>
              <w:t>Art. 8</w:t>
            </w:r>
            <w:r w:rsidR="0027460B" w:rsidRPr="00DB26F9">
              <w:rPr>
                <w:rFonts w:ascii="Arial" w:hAnsi="Arial" w:cs="Arial"/>
                <w:b/>
                <w:sz w:val="16"/>
                <w:szCs w:val="16"/>
              </w:rPr>
              <w:t>º, inciso IV</w:t>
            </w:r>
            <w:r w:rsidR="0027460B" w:rsidRPr="00DB26F9">
              <w:rPr>
                <w:rFonts w:ascii="Arial" w:hAnsi="Arial" w:cs="Arial"/>
                <w:b/>
                <w:bCs/>
                <w:sz w:val="16"/>
                <w:szCs w:val="16"/>
              </w:rPr>
              <w:t xml:space="preserve"> -</w:t>
            </w:r>
            <w:r w:rsidR="0027460B" w:rsidRPr="00DB26F9">
              <w:rPr>
                <w:rFonts w:ascii="Arial" w:hAnsi="Arial" w:cs="Arial"/>
                <w:bCs/>
                <w:sz w:val="16"/>
                <w:szCs w:val="16"/>
              </w:rPr>
              <w:t xml:space="preserve"> Cotas de fundos de investimento classificados </w:t>
            </w:r>
            <w:r w:rsidR="0027460B" w:rsidRPr="00DB26F9">
              <w:rPr>
                <w:rFonts w:ascii="Arial" w:hAnsi="Arial" w:cs="Arial"/>
                <w:sz w:val="16"/>
                <w:szCs w:val="16"/>
              </w:rPr>
              <w:t>como multimercado, constituídos sob a forma de condomínio aberto, cujos regulamentos determinem tratar-se de fundos sem alavancagem, cumulativo com o limite do inciso II</w:t>
            </w:r>
          </w:p>
        </w:tc>
        <w:tc>
          <w:tcPr>
            <w:tcW w:w="1543" w:type="dxa"/>
            <w:vMerge/>
            <w:tcBorders>
              <w:top w:val="single" w:sz="4" w:space="0" w:color="auto"/>
              <w:left w:val="single" w:sz="4" w:space="0" w:color="auto"/>
              <w:bottom w:val="threeDEngrave" w:sz="12" w:space="0" w:color="auto"/>
              <w:right w:val="single" w:sz="4"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c>
          <w:tcPr>
            <w:tcW w:w="1284" w:type="dxa"/>
            <w:vMerge/>
            <w:tcBorders>
              <w:top w:val="single" w:sz="4"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c>
          <w:tcPr>
            <w:tcW w:w="1818" w:type="dxa"/>
            <w:vMerge/>
            <w:tcBorders>
              <w:top w:val="single" w:sz="4"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r>
      <w:tr w:rsidR="0027460B" w:rsidRPr="00DB26F9" w:rsidTr="00A47A05">
        <w:trPr>
          <w:trHeight w:val="198"/>
        </w:trPr>
        <w:tc>
          <w:tcPr>
            <w:tcW w:w="4252" w:type="dxa"/>
            <w:tcBorders>
              <w:top w:val="single" w:sz="4" w:space="0" w:color="auto"/>
              <w:bottom w:val="single" w:sz="4" w:space="0" w:color="auto"/>
              <w:right w:val="single" w:sz="4" w:space="0" w:color="auto"/>
            </w:tcBorders>
            <w:vAlign w:val="center"/>
          </w:tcPr>
          <w:p w:rsidR="0027460B" w:rsidRPr="00DB26F9" w:rsidRDefault="0027460B" w:rsidP="00644E8A">
            <w:pPr>
              <w:autoSpaceDE w:val="0"/>
              <w:autoSpaceDN w:val="0"/>
              <w:adjustRightInd w:val="0"/>
              <w:jc w:val="both"/>
              <w:rPr>
                <w:rFonts w:ascii="Arial" w:hAnsi="Arial" w:cs="Arial"/>
                <w:b/>
                <w:sz w:val="16"/>
                <w:szCs w:val="16"/>
              </w:rPr>
            </w:pPr>
            <w:r w:rsidRPr="00DB26F9">
              <w:rPr>
                <w:rFonts w:ascii="Arial" w:hAnsi="Arial" w:cs="Arial"/>
                <w:b/>
                <w:sz w:val="16"/>
                <w:szCs w:val="16"/>
              </w:rPr>
              <w:t xml:space="preserve">Art. </w:t>
            </w:r>
            <w:r w:rsidR="00644E8A">
              <w:rPr>
                <w:rFonts w:ascii="Arial" w:hAnsi="Arial" w:cs="Arial"/>
                <w:b/>
                <w:sz w:val="16"/>
                <w:szCs w:val="16"/>
              </w:rPr>
              <w:t>8</w:t>
            </w:r>
            <w:r w:rsidRPr="00DB26F9">
              <w:rPr>
                <w:rFonts w:ascii="Arial" w:hAnsi="Arial" w:cs="Arial"/>
                <w:b/>
                <w:sz w:val="16"/>
                <w:szCs w:val="16"/>
              </w:rPr>
              <w:t>º, inciso V</w:t>
            </w:r>
            <w:r w:rsidRPr="00DB26F9">
              <w:rPr>
                <w:rFonts w:ascii="Arial" w:hAnsi="Arial" w:cs="Arial"/>
                <w:b/>
                <w:bCs/>
                <w:sz w:val="16"/>
                <w:szCs w:val="16"/>
              </w:rPr>
              <w:t xml:space="preserve"> -</w:t>
            </w:r>
            <w:r w:rsidRPr="00DB26F9">
              <w:rPr>
                <w:rFonts w:ascii="Arial" w:hAnsi="Arial" w:cs="Arial"/>
                <w:bCs/>
                <w:sz w:val="16"/>
                <w:szCs w:val="16"/>
              </w:rPr>
              <w:t xml:space="preserve"> Cotas de fundos de investimento </w:t>
            </w:r>
            <w:r w:rsidRPr="00DB26F9">
              <w:rPr>
                <w:rFonts w:ascii="Arial" w:hAnsi="Arial" w:cs="Arial"/>
                <w:sz w:val="16"/>
                <w:szCs w:val="16"/>
              </w:rPr>
              <w:t>em participações, constituídos sob a forma de condomínio fechado, cumulativo com o limite do inciso II</w:t>
            </w:r>
          </w:p>
        </w:tc>
        <w:tc>
          <w:tcPr>
            <w:tcW w:w="1543" w:type="dxa"/>
            <w:vMerge/>
            <w:tcBorders>
              <w:top w:val="single" w:sz="4" w:space="0" w:color="auto"/>
              <w:left w:val="single" w:sz="4" w:space="0" w:color="auto"/>
              <w:bottom w:val="threeDEngrave" w:sz="12" w:space="0" w:color="auto"/>
              <w:right w:val="single" w:sz="4"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c>
          <w:tcPr>
            <w:tcW w:w="1284" w:type="dxa"/>
            <w:vMerge/>
            <w:tcBorders>
              <w:top w:val="single" w:sz="4"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c>
          <w:tcPr>
            <w:tcW w:w="1818" w:type="dxa"/>
            <w:vMerge/>
            <w:tcBorders>
              <w:top w:val="single" w:sz="4"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r>
      <w:tr w:rsidR="0027460B" w:rsidRPr="00DB26F9" w:rsidTr="00A47A05">
        <w:trPr>
          <w:trHeight w:val="451"/>
        </w:trPr>
        <w:tc>
          <w:tcPr>
            <w:tcW w:w="4252" w:type="dxa"/>
            <w:tcBorders>
              <w:top w:val="single" w:sz="4" w:space="0" w:color="auto"/>
              <w:bottom w:val="threeDEngrave" w:sz="12" w:space="0" w:color="auto"/>
              <w:right w:val="single" w:sz="4" w:space="0" w:color="auto"/>
            </w:tcBorders>
            <w:vAlign w:val="center"/>
          </w:tcPr>
          <w:p w:rsidR="0027460B" w:rsidRPr="00DB26F9" w:rsidRDefault="00644E8A" w:rsidP="00DB26F9">
            <w:pPr>
              <w:autoSpaceDE w:val="0"/>
              <w:autoSpaceDN w:val="0"/>
              <w:adjustRightInd w:val="0"/>
              <w:jc w:val="both"/>
              <w:rPr>
                <w:rFonts w:ascii="Arial" w:hAnsi="Arial" w:cs="Arial"/>
                <w:sz w:val="16"/>
                <w:szCs w:val="16"/>
              </w:rPr>
            </w:pPr>
            <w:r>
              <w:rPr>
                <w:rFonts w:ascii="Arial" w:hAnsi="Arial" w:cs="Arial"/>
                <w:b/>
                <w:sz w:val="16"/>
                <w:szCs w:val="16"/>
              </w:rPr>
              <w:t>Art. 8</w:t>
            </w:r>
            <w:r w:rsidR="0027460B" w:rsidRPr="00DB26F9">
              <w:rPr>
                <w:rFonts w:ascii="Arial" w:hAnsi="Arial" w:cs="Arial"/>
                <w:b/>
                <w:sz w:val="16"/>
                <w:szCs w:val="16"/>
              </w:rPr>
              <w:t>º, inciso VI</w:t>
            </w:r>
            <w:r w:rsidR="0027460B" w:rsidRPr="00DB26F9">
              <w:rPr>
                <w:rFonts w:ascii="Arial" w:hAnsi="Arial" w:cs="Arial"/>
                <w:b/>
                <w:bCs/>
                <w:sz w:val="16"/>
                <w:szCs w:val="16"/>
              </w:rPr>
              <w:t xml:space="preserve"> -</w:t>
            </w:r>
            <w:r w:rsidR="0027460B" w:rsidRPr="00DB26F9">
              <w:rPr>
                <w:rFonts w:ascii="Arial" w:hAnsi="Arial" w:cs="Arial"/>
                <w:bCs/>
                <w:sz w:val="16"/>
                <w:szCs w:val="16"/>
              </w:rPr>
              <w:t xml:space="preserve"> Cotas de fundos de investimento </w:t>
            </w:r>
            <w:r w:rsidR="0027460B" w:rsidRPr="00DB26F9">
              <w:rPr>
                <w:rFonts w:ascii="Arial" w:hAnsi="Arial" w:cs="Arial"/>
                <w:sz w:val="16"/>
                <w:szCs w:val="16"/>
              </w:rPr>
              <w:t>imobiliário, com cotas negociadas na bolsa de valores</w:t>
            </w:r>
          </w:p>
        </w:tc>
        <w:tc>
          <w:tcPr>
            <w:tcW w:w="1543" w:type="dxa"/>
            <w:vMerge/>
            <w:tcBorders>
              <w:top w:val="single" w:sz="4" w:space="0" w:color="auto"/>
              <w:left w:val="single" w:sz="4" w:space="0" w:color="auto"/>
              <w:bottom w:val="threeDEngrave" w:sz="12" w:space="0" w:color="auto"/>
              <w:right w:val="single" w:sz="4"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c>
          <w:tcPr>
            <w:tcW w:w="1284" w:type="dxa"/>
            <w:vMerge/>
            <w:tcBorders>
              <w:top w:val="single" w:sz="4"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c>
          <w:tcPr>
            <w:tcW w:w="1818" w:type="dxa"/>
            <w:vMerge/>
            <w:tcBorders>
              <w:top w:val="single" w:sz="4" w:space="0" w:color="auto"/>
              <w:left w:val="single" w:sz="4" w:space="0" w:color="auto"/>
              <w:bottom w:val="threeDEngrave" w:sz="12" w:space="0" w:color="auto"/>
            </w:tcBorders>
            <w:vAlign w:val="center"/>
          </w:tcPr>
          <w:p w:rsidR="0027460B" w:rsidRPr="00DB26F9" w:rsidRDefault="0027460B" w:rsidP="00DB26F9">
            <w:pPr>
              <w:autoSpaceDE w:val="0"/>
              <w:autoSpaceDN w:val="0"/>
              <w:adjustRightInd w:val="0"/>
              <w:jc w:val="center"/>
              <w:rPr>
                <w:rFonts w:ascii="Arial" w:hAnsi="Arial" w:cs="Arial"/>
                <w:sz w:val="16"/>
                <w:szCs w:val="16"/>
              </w:rPr>
            </w:pPr>
          </w:p>
        </w:tc>
      </w:tr>
    </w:tbl>
    <w:p w:rsidR="00F33464" w:rsidRPr="00E830C3" w:rsidRDefault="00F33464" w:rsidP="004C683B">
      <w:pPr>
        <w:pStyle w:val="Ttulo1"/>
        <w:numPr>
          <w:ilvl w:val="0"/>
          <w:numId w:val="0"/>
        </w:numPr>
        <w:tabs>
          <w:tab w:val="left" w:pos="1134"/>
        </w:tabs>
        <w:spacing w:before="0" w:after="240"/>
        <w:jc w:val="both"/>
        <w:rPr>
          <w:bCs w:val="0"/>
          <w:sz w:val="8"/>
          <w:szCs w:val="8"/>
        </w:rPr>
      </w:pPr>
      <w:bookmarkStart w:id="22" w:name="_Toc184817253"/>
      <w:bookmarkEnd w:id="21"/>
    </w:p>
    <w:p w:rsidR="00AC5D48" w:rsidRDefault="00AC5D48" w:rsidP="0037148E">
      <w:pPr>
        <w:pStyle w:val="Ttulo1"/>
        <w:numPr>
          <w:ilvl w:val="0"/>
          <w:numId w:val="0"/>
        </w:numPr>
        <w:spacing w:before="0" w:after="240"/>
        <w:jc w:val="both"/>
        <w:rPr>
          <w:bCs w:val="0"/>
          <w:sz w:val="24"/>
          <w:szCs w:val="24"/>
        </w:rPr>
      </w:pPr>
    </w:p>
    <w:p w:rsidR="004C683B" w:rsidRPr="00CF0E68" w:rsidRDefault="0037148E" w:rsidP="0037148E">
      <w:pPr>
        <w:pStyle w:val="Ttulo1"/>
        <w:numPr>
          <w:ilvl w:val="0"/>
          <w:numId w:val="0"/>
        </w:numPr>
        <w:spacing w:before="0" w:after="240"/>
        <w:jc w:val="both"/>
        <w:rPr>
          <w:bCs w:val="0"/>
          <w:sz w:val="24"/>
          <w:szCs w:val="24"/>
        </w:rPr>
      </w:pPr>
      <w:r>
        <w:rPr>
          <w:bCs w:val="0"/>
          <w:sz w:val="24"/>
          <w:szCs w:val="24"/>
        </w:rPr>
        <w:t xml:space="preserve">5 - </w:t>
      </w:r>
      <w:r w:rsidR="004C683B" w:rsidRPr="00CF0E68">
        <w:rPr>
          <w:sz w:val="24"/>
          <w:szCs w:val="24"/>
        </w:rPr>
        <w:t>METAS E DIRETRIZES PARA A ALOCAÇÃO DE RECURSOS</w:t>
      </w:r>
    </w:p>
    <w:bookmarkEnd w:id="22"/>
    <w:p w:rsidR="004C683B" w:rsidRPr="0037148E" w:rsidRDefault="004C683B" w:rsidP="0037148E">
      <w:pPr>
        <w:autoSpaceDE w:val="0"/>
        <w:autoSpaceDN w:val="0"/>
        <w:adjustRightInd w:val="0"/>
        <w:spacing w:after="120"/>
        <w:rPr>
          <w:rFonts w:ascii="Arial" w:hAnsi="Arial" w:cs="Arial"/>
          <w:b/>
          <w:bCs/>
          <w:smallCaps/>
          <w:sz w:val="20"/>
          <w:szCs w:val="20"/>
        </w:rPr>
      </w:pPr>
      <w:r w:rsidRPr="0037148E">
        <w:rPr>
          <w:rFonts w:ascii="Arial" w:hAnsi="Arial" w:cs="Arial"/>
          <w:b/>
          <w:bCs/>
          <w:smallCaps/>
          <w:sz w:val="20"/>
          <w:szCs w:val="20"/>
        </w:rPr>
        <w:t>5.1</w:t>
      </w:r>
      <w:r w:rsidR="00F1149A" w:rsidRPr="0037148E">
        <w:rPr>
          <w:rFonts w:ascii="Arial" w:hAnsi="Arial" w:cs="Arial"/>
          <w:b/>
          <w:bCs/>
          <w:smallCaps/>
          <w:sz w:val="20"/>
          <w:szCs w:val="20"/>
        </w:rPr>
        <w:t>.</w:t>
      </w:r>
      <w:r w:rsidR="007B7904">
        <w:rPr>
          <w:rFonts w:ascii="Arial" w:hAnsi="Arial" w:cs="Arial"/>
          <w:b/>
          <w:bCs/>
          <w:smallCaps/>
          <w:sz w:val="20"/>
          <w:szCs w:val="20"/>
        </w:rPr>
        <w:t xml:space="preserve"> </w:t>
      </w:r>
      <w:r w:rsidR="00DA47E9" w:rsidRPr="0037148E">
        <w:rPr>
          <w:rFonts w:ascii="Arial" w:hAnsi="Arial" w:cs="Arial"/>
          <w:b/>
          <w:bCs/>
          <w:smallCaps/>
          <w:sz w:val="20"/>
          <w:szCs w:val="20"/>
        </w:rPr>
        <w:t>M</w:t>
      </w:r>
      <w:r w:rsidR="0037148E" w:rsidRPr="0037148E">
        <w:rPr>
          <w:rFonts w:ascii="Arial" w:hAnsi="Arial" w:cs="Arial"/>
          <w:b/>
          <w:bCs/>
          <w:smallCaps/>
          <w:sz w:val="20"/>
          <w:szCs w:val="20"/>
        </w:rPr>
        <w:t>ETA ATUARIAL DA CARTEIRA DE INVESTIMENTOS</w:t>
      </w:r>
    </w:p>
    <w:p w:rsidR="00AC5D48" w:rsidRPr="00CF0E68" w:rsidRDefault="00C511C3" w:rsidP="0037148E">
      <w:pPr>
        <w:autoSpaceDE w:val="0"/>
        <w:autoSpaceDN w:val="0"/>
        <w:adjustRightInd w:val="0"/>
        <w:spacing w:after="120" w:line="312" w:lineRule="auto"/>
        <w:ind w:firstLine="1418"/>
        <w:jc w:val="both"/>
        <w:rPr>
          <w:rFonts w:ascii="Arial" w:hAnsi="Arial" w:cs="Arial"/>
          <w:sz w:val="20"/>
          <w:szCs w:val="20"/>
        </w:rPr>
      </w:pPr>
      <w:r w:rsidRPr="00CF0E68">
        <w:rPr>
          <w:rFonts w:ascii="Arial" w:hAnsi="Arial" w:cs="Arial"/>
          <w:sz w:val="20"/>
          <w:szCs w:val="20"/>
        </w:rPr>
        <w:t>Os recursos financeiros administrados pela AMPREV deverão ser aplicados</w:t>
      </w:r>
      <w:r w:rsidR="00895FF5">
        <w:rPr>
          <w:rFonts w:ascii="Arial" w:hAnsi="Arial" w:cs="Arial"/>
          <w:sz w:val="20"/>
          <w:szCs w:val="20"/>
        </w:rPr>
        <w:t xml:space="preserve"> </w:t>
      </w:r>
      <w:r w:rsidRPr="00CF0E68">
        <w:rPr>
          <w:rFonts w:ascii="Arial" w:hAnsi="Arial" w:cs="Arial"/>
          <w:sz w:val="20"/>
          <w:szCs w:val="20"/>
        </w:rPr>
        <w:t>de forma a buscar</w:t>
      </w:r>
      <w:r w:rsidR="00895FF5">
        <w:rPr>
          <w:rFonts w:ascii="Arial" w:hAnsi="Arial" w:cs="Arial"/>
          <w:sz w:val="20"/>
          <w:szCs w:val="20"/>
        </w:rPr>
        <w:t xml:space="preserve"> </w:t>
      </w:r>
      <w:r w:rsidRPr="00CF0E68">
        <w:rPr>
          <w:rFonts w:ascii="Arial" w:hAnsi="Arial" w:cs="Arial"/>
          <w:sz w:val="20"/>
          <w:szCs w:val="20"/>
        </w:rPr>
        <w:t>retorno</w:t>
      </w:r>
      <w:r w:rsidR="00895FF5">
        <w:rPr>
          <w:rFonts w:ascii="Arial" w:hAnsi="Arial" w:cs="Arial"/>
          <w:sz w:val="20"/>
          <w:szCs w:val="20"/>
        </w:rPr>
        <w:t xml:space="preserve"> </w:t>
      </w:r>
      <w:r w:rsidR="007E640A" w:rsidRPr="00E830C3">
        <w:rPr>
          <w:rFonts w:ascii="Arial" w:hAnsi="Arial" w:cs="Arial"/>
          <w:sz w:val="20"/>
          <w:szCs w:val="20"/>
        </w:rPr>
        <w:t>equivalente</w:t>
      </w:r>
      <w:r w:rsidR="00B82524" w:rsidRPr="00E830C3">
        <w:rPr>
          <w:rFonts w:ascii="Arial" w:hAnsi="Arial" w:cs="Arial"/>
          <w:sz w:val="20"/>
          <w:szCs w:val="20"/>
        </w:rPr>
        <w:t xml:space="preserve"> ou</w:t>
      </w:r>
      <w:r w:rsidRPr="00E830C3">
        <w:rPr>
          <w:rFonts w:ascii="Arial" w:hAnsi="Arial" w:cs="Arial"/>
          <w:sz w:val="20"/>
          <w:szCs w:val="20"/>
        </w:rPr>
        <w:t xml:space="preserve"> superior</w:t>
      </w:r>
      <w:r w:rsidR="00895FF5">
        <w:rPr>
          <w:rFonts w:ascii="Arial" w:hAnsi="Arial" w:cs="Arial"/>
          <w:sz w:val="20"/>
          <w:szCs w:val="20"/>
        </w:rPr>
        <w:t xml:space="preserve"> </w:t>
      </w:r>
      <w:r w:rsidRPr="00CF0E68">
        <w:rPr>
          <w:rFonts w:ascii="Arial" w:hAnsi="Arial" w:cs="Arial"/>
          <w:sz w:val="20"/>
          <w:szCs w:val="20"/>
        </w:rPr>
        <w:t xml:space="preserve">ao </w:t>
      </w:r>
      <w:r w:rsidR="00CD1EB5" w:rsidRPr="00CF0E68">
        <w:rPr>
          <w:rFonts w:ascii="Arial" w:hAnsi="Arial" w:cs="Arial"/>
          <w:b/>
          <w:bCs/>
          <w:sz w:val="20"/>
          <w:szCs w:val="20"/>
        </w:rPr>
        <w:t>Índice Nacional de Preço</w:t>
      </w:r>
      <w:r w:rsidRPr="00CF0E68">
        <w:rPr>
          <w:rFonts w:ascii="Arial" w:hAnsi="Arial" w:cs="Arial"/>
          <w:b/>
          <w:bCs/>
          <w:sz w:val="20"/>
          <w:szCs w:val="20"/>
        </w:rPr>
        <w:t xml:space="preserve"> ao</w:t>
      </w:r>
      <w:r w:rsidR="00895FF5">
        <w:rPr>
          <w:rFonts w:ascii="Arial" w:hAnsi="Arial" w:cs="Arial"/>
          <w:b/>
          <w:bCs/>
          <w:sz w:val="20"/>
          <w:szCs w:val="20"/>
        </w:rPr>
        <w:t xml:space="preserve"> </w:t>
      </w:r>
      <w:r w:rsidRPr="00CF0E68">
        <w:rPr>
          <w:rFonts w:ascii="Arial" w:hAnsi="Arial" w:cs="Arial"/>
          <w:b/>
          <w:bCs/>
          <w:sz w:val="20"/>
          <w:szCs w:val="20"/>
        </w:rPr>
        <w:t>Consumidor</w:t>
      </w:r>
      <w:r w:rsidR="00CD1EB5" w:rsidRPr="00CF0E68">
        <w:rPr>
          <w:rFonts w:ascii="Arial" w:hAnsi="Arial" w:cs="Arial"/>
          <w:b/>
          <w:bCs/>
          <w:sz w:val="20"/>
          <w:szCs w:val="20"/>
        </w:rPr>
        <w:t xml:space="preserve"> -</w:t>
      </w:r>
      <w:r w:rsidRPr="00CF0E68">
        <w:rPr>
          <w:rFonts w:ascii="Arial" w:hAnsi="Arial" w:cs="Arial"/>
          <w:b/>
          <w:bCs/>
          <w:sz w:val="20"/>
          <w:szCs w:val="20"/>
        </w:rPr>
        <w:t xml:space="preserve"> I</w:t>
      </w:r>
      <w:r w:rsidR="004C683B" w:rsidRPr="00CF0E68">
        <w:rPr>
          <w:rFonts w:ascii="Arial" w:hAnsi="Arial" w:cs="Arial"/>
          <w:b/>
          <w:bCs/>
          <w:sz w:val="20"/>
          <w:szCs w:val="20"/>
        </w:rPr>
        <w:t>NPC</w:t>
      </w:r>
      <w:r w:rsidRPr="00CF0E68">
        <w:rPr>
          <w:rFonts w:ascii="Arial" w:hAnsi="Arial" w:cs="Arial"/>
          <w:sz w:val="20"/>
          <w:szCs w:val="20"/>
        </w:rPr>
        <w:t>, divulgado pelo Instituto Brasileiro de Geografia e</w:t>
      </w:r>
      <w:r w:rsidR="00895FF5">
        <w:rPr>
          <w:rFonts w:ascii="Arial" w:hAnsi="Arial" w:cs="Arial"/>
          <w:sz w:val="20"/>
          <w:szCs w:val="20"/>
        </w:rPr>
        <w:t xml:space="preserve"> </w:t>
      </w:r>
      <w:r w:rsidRPr="00CF0E68">
        <w:rPr>
          <w:rFonts w:ascii="Arial" w:hAnsi="Arial" w:cs="Arial"/>
          <w:sz w:val="20"/>
          <w:szCs w:val="20"/>
        </w:rPr>
        <w:t xml:space="preserve">Estatística </w:t>
      </w:r>
      <w:r w:rsidR="007C4B51">
        <w:rPr>
          <w:rFonts w:ascii="Arial" w:hAnsi="Arial" w:cs="Arial"/>
          <w:sz w:val="20"/>
          <w:szCs w:val="20"/>
        </w:rPr>
        <w:t>–</w:t>
      </w:r>
      <w:r w:rsidRPr="00CF0E68">
        <w:rPr>
          <w:rFonts w:ascii="Arial" w:hAnsi="Arial" w:cs="Arial"/>
          <w:sz w:val="20"/>
          <w:szCs w:val="20"/>
        </w:rPr>
        <w:t xml:space="preserve"> IBGE</w:t>
      </w:r>
      <w:r w:rsidR="007C4B51">
        <w:rPr>
          <w:rFonts w:ascii="Arial" w:hAnsi="Arial" w:cs="Arial"/>
          <w:sz w:val="20"/>
          <w:szCs w:val="20"/>
        </w:rPr>
        <w:t>,</w:t>
      </w:r>
      <w:r w:rsidRPr="00CF0E68">
        <w:rPr>
          <w:rFonts w:ascii="Arial" w:hAnsi="Arial" w:cs="Arial"/>
          <w:sz w:val="20"/>
          <w:szCs w:val="20"/>
        </w:rPr>
        <w:t xml:space="preserve"> mais </w:t>
      </w:r>
      <w:r w:rsidRPr="00CF0E68">
        <w:rPr>
          <w:rFonts w:ascii="Arial" w:hAnsi="Arial" w:cs="Arial"/>
          <w:b/>
          <w:sz w:val="20"/>
          <w:szCs w:val="20"/>
        </w:rPr>
        <w:t>6% a.a.</w:t>
      </w:r>
      <w:r w:rsidR="00413B3A" w:rsidRPr="00CF0E68">
        <w:rPr>
          <w:rFonts w:ascii="Arial" w:hAnsi="Arial" w:cs="Arial"/>
          <w:b/>
          <w:sz w:val="20"/>
          <w:szCs w:val="20"/>
        </w:rPr>
        <w:t xml:space="preserve"> (seis por </w:t>
      </w:r>
      <w:r w:rsidR="00413B3A" w:rsidRPr="00CF0E68">
        <w:rPr>
          <w:rFonts w:ascii="Arial" w:hAnsi="Arial" w:cs="Arial"/>
          <w:b/>
          <w:sz w:val="20"/>
          <w:szCs w:val="20"/>
        </w:rPr>
        <w:lastRenderedPageBreak/>
        <w:t>cento)</w:t>
      </w:r>
      <w:r w:rsidRPr="00CF0E68">
        <w:rPr>
          <w:rFonts w:ascii="Arial" w:hAnsi="Arial" w:cs="Arial"/>
          <w:sz w:val="20"/>
          <w:szCs w:val="20"/>
        </w:rPr>
        <w:t>, observando-se</w:t>
      </w:r>
      <w:r w:rsidR="007C4B51">
        <w:rPr>
          <w:rFonts w:ascii="Arial" w:hAnsi="Arial" w:cs="Arial"/>
          <w:sz w:val="20"/>
          <w:szCs w:val="20"/>
        </w:rPr>
        <w:t>,</w:t>
      </w:r>
      <w:r w:rsidRPr="00CF0E68">
        <w:rPr>
          <w:rFonts w:ascii="Arial" w:hAnsi="Arial" w:cs="Arial"/>
          <w:sz w:val="20"/>
          <w:szCs w:val="20"/>
        </w:rPr>
        <w:t xml:space="preserve"> sempre</w:t>
      </w:r>
      <w:r w:rsidR="007C4B51">
        <w:rPr>
          <w:rFonts w:ascii="Arial" w:hAnsi="Arial" w:cs="Arial"/>
          <w:sz w:val="20"/>
          <w:szCs w:val="20"/>
        </w:rPr>
        <w:t>,</w:t>
      </w:r>
      <w:r w:rsidRPr="00CF0E68">
        <w:rPr>
          <w:rFonts w:ascii="Arial" w:hAnsi="Arial" w:cs="Arial"/>
          <w:sz w:val="20"/>
          <w:szCs w:val="20"/>
        </w:rPr>
        <w:t xml:space="preserve"> a adequação do perfil</w:t>
      </w:r>
      <w:r w:rsidR="00895FF5">
        <w:rPr>
          <w:rFonts w:ascii="Arial" w:hAnsi="Arial" w:cs="Arial"/>
          <w:sz w:val="20"/>
          <w:szCs w:val="20"/>
        </w:rPr>
        <w:t xml:space="preserve"> </w:t>
      </w:r>
      <w:r w:rsidRPr="00CF0E68">
        <w:rPr>
          <w:rFonts w:ascii="Arial" w:hAnsi="Arial" w:cs="Arial"/>
          <w:sz w:val="20"/>
          <w:szCs w:val="20"/>
        </w:rPr>
        <w:t>de risco dos segmentos de investimento</w:t>
      </w:r>
      <w:r w:rsidR="004C683B" w:rsidRPr="00CF0E68">
        <w:rPr>
          <w:rFonts w:ascii="Arial" w:hAnsi="Arial" w:cs="Arial"/>
          <w:sz w:val="20"/>
          <w:szCs w:val="20"/>
        </w:rPr>
        <w:t>s</w:t>
      </w:r>
      <w:r w:rsidRPr="00CF0E68">
        <w:rPr>
          <w:rFonts w:ascii="Arial" w:hAnsi="Arial" w:cs="Arial"/>
          <w:sz w:val="20"/>
          <w:szCs w:val="20"/>
        </w:rPr>
        <w:t>. Além disso, devem ser respeitadas as</w:t>
      </w:r>
      <w:r w:rsidR="00895FF5">
        <w:rPr>
          <w:rFonts w:ascii="Arial" w:hAnsi="Arial" w:cs="Arial"/>
          <w:sz w:val="20"/>
          <w:szCs w:val="20"/>
        </w:rPr>
        <w:t xml:space="preserve"> </w:t>
      </w:r>
      <w:r w:rsidRPr="00CF0E68">
        <w:rPr>
          <w:rFonts w:ascii="Arial" w:hAnsi="Arial" w:cs="Arial"/>
          <w:sz w:val="20"/>
          <w:szCs w:val="20"/>
        </w:rPr>
        <w:t>necessidades de mobilidade de investimentos e de liquidez adequada ao</w:t>
      </w:r>
      <w:r w:rsidR="00895FF5">
        <w:rPr>
          <w:rFonts w:ascii="Arial" w:hAnsi="Arial" w:cs="Arial"/>
          <w:sz w:val="20"/>
          <w:szCs w:val="20"/>
        </w:rPr>
        <w:t xml:space="preserve"> </w:t>
      </w:r>
      <w:r w:rsidRPr="00CF0E68">
        <w:rPr>
          <w:rFonts w:ascii="Arial" w:hAnsi="Arial" w:cs="Arial"/>
          <w:sz w:val="20"/>
          <w:szCs w:val="20"/>
        </w:rPr>
        <w:t>atendimento dos compromissos atuariais.</w:t>
      </w:r>
    </w:p>
    <w:p w:rsidR="00413B3A" w:rsidRPr="0037148E" w:rsidRDefault="00413B3A" w:rsidP="0037148E">
      <w:pPr>
        <w:autoSpaceDE w:val="0"/>
        <w:autoSpaceDN w:val="0"/>
        <w:adjustRightInd w:val="0"/>
        <w:spacing w:after="120"/>
        <w:rPr>
          <w:rFonts w:ascii="Arial" w:hAnsi="Arial" w:cs="Arial"/>
          <w:b/>
          <w:bCs/>
          <w:smallCaps/>
          <w:sz w:val="20"/>
          <w:szCs w:val="20"/>
        </w:rPr>
      </w:pPr>
      <w:r w:rsidRPr="0037148E">
        <w:rPr>
          <w:rFonts w:ascii="Arial" w:hAnsi="Arial" w:cs="Arial"/>
          <w:b/>
          <w:bCs/>
          <w:smallCaps/>
          <w:sz w:val="20"/>
          <w:szCs w:val="20"/>
        </w:rPr>
        <w:t>5.2</w:t>
      </w:r>
      <w:r w:rsidR="00F1149A" w:rsidRPr="0037148E">
        <w:rPr>
          <w:rFonts w:ascii="Arial" w:hAnsi="Arial" w:cs="Arial"/>
          <w:b/>
          <w:bCs/>
          <w:smallCaps/>
          <w:sz w:val="20"/>
          <w:szCs w:val="20"/>
        </w:rPr>
        <w:t>.</w:t>
      </w:r>
      <w:r w:rsidR="0037148E" w:rsidRPr="0037148E">
        <w:rPr>
          <w:rFonts w:ascii="Arial" w:hAnsi="Arial" w:cs="Arial"/>
          <w:b/>
          <w:bCs/>
          <w:smallCaps/>
          <w:sz w:val="20"/>
          <w:szCs w:val="20"/>
        </w:rPr>
        <w:t xml:space="preserve"> META GERENCIAL DA CARTEIRA DE INVESTIMENTOS</w:t>
      </w:r>
    </w:p>
    <w:p w:rsidR="00C511C3" w:rsidRPr="00CF0E68" w:rsidRDefault="00427333" w:rsidP="00E830C3">
      <w:pPr>
        <w:autoSpaceDE w:val="0"/>
        <w:autoSpaceDN w:val="0"/>
        <w:adjustRightInd w:val="0"/>
        <w:spacing w:after="120" w:line="312" w:lineRule="auto"/>
        <w:ind w:firstLine="1418"/>
        <w:jc w:val="both"/>
        <w:rPr>
          <w:rFonts w:ascii="Arial" w:hAnsi="Arial" w:cs="Arial"/>
          <w:bCs/>
          <w:sz w:val="20"/>
          <w:szCs w:val="20"/>
        </w:rPr>
      </w:pPr>
      <w:r>
        <w:rPr>
          <w:rFonts w:ascii="Arial" w:hAnsi="Arial" w:cs="Arial"/>
          <w:sz w:val="20"/>
          <w:szCs w:val="20"/>
        </w:rPr>
        <w:t xml:space="preserve">A AMPREV adotará como meta gerencial </w:t>
      </w:r>
      <w:r w:rsidR="00206E20">
        <w:rPr>
          <w:rFonts w:ascii="Arial" w:hAnsi="Arial" w:cs="Arial"/>
          <w:sz w:val="20"/>
          <w:szCs w:val="20"/>
        </w:rPr>
        <w:t xml:space="preserve">tentar </w:t>
      </w:r>
      <w:r w:rsidR="0067636A">
        <w:rPr>
          <w:rFonts w:ascii="Arial" w:hAnsi="Arial" w:cs="Arial"/>
          <w:sz w:val="20"/>
          <w:szCs w:val="20"/>
        </w:rPr>
        <w:t xml:space="preserve">superar a </w:t>
      </w:r>
      <w:r w:rsidR="0067636A" w:rsidRPr="0067636A">
        <w:rPr>
          <w:rFonts w:ascii="Arial" w:hAnsi="Arial" w:cs="Arial"/>
          <w:b/>
          <w:sz w:val="20"/>
          <w:szCs w:val="20"/>
        </w:rPr>
        <w:t>Meta Atuarial</w:t>
      </w:r>
      <w:r w:rsidR="005C3A98">
        <w:rPr>
          <w:rFonts w:ascii="Arial" w:hAnsi="Arial" w:cs="Arial"/>
          <w:sz w:val="20"/>
          <w:szCs w:val="20"/>
        </w:rPr>
        <w:t xml:space="preserve"> em 1% (um ponto percentual</w:t>
      </w:r>
      <w:r w:rsidR="0067636A">
        <w:rPr>
          <w:rFonts w:ascii="Arial" w:hAnsi="Arial" w:cs="Arial"/>
          <w:sz w:val="20"/>
          <w:szCs w:val="20"/>
        </w:rPr>
        <w:t>)</w:t>
      </w:r>
      <w:r w:rsidR="0067636A">
        <w:rPr>
          <w:rFonts w:ascii="Arial" w:hAnsi="Arial" w:cs="Arial"/>
          <w:bCs/>
          <w:sz w:val="20"/>
          <w:szCs w:val="20"/>
        </w:rPr>
        <w:t xml:space="preserve"> na consolidação da carteira de investimentos, visando reduzir o déficit atuarial existente.</w:t>
      </w:r>
    </w:p>
    <w:p w:rsidR="00DA47E9" w:rsidRPr="0037148E" w:rsidRDefault="00DA47E9" w:rsidP="00E830C3">
      <w:pPr>
        <w:tabs>
          <w:tab w:val="left" w:pos="1134"/>
        </w:tabs>
        <w:autoSpaceDE w:val="0"/>
        <w:autoSpaceDN w:val="0"/>
        <w:adjustRightInd w:val="0"/>
        <w:spacing w:after="120"/>
        <w:rPr>
          <w:rFonts w:ascii="Arial" w:hAnsi="Arial" w:cs="Arial"/>
          <w:b/>
          <w:bCs/>
          <w:smallCaps/>
          <w:sz w:val="20"/>
          <w:szCs w:val="20"/>
        </w:rPr>
      </w:pPr>
      <w:bookmarkStart w:id="23" w:name="_Toc184817254"/>
      <w:r w:rsidRPr="0037148E">
        <w:rPr>
          <w:rFonts w:ascii="Arial" w:hAnsi="Arial" w:cs="Arial"/>
          <w:b/>
          <w:bCs/>
          <w:smallCaps/>
          <w:sz w:val="20"/>
          <w:szCs w:val="20"/>
        </w:rPr>
        <w:t>5.3</w:t>
      </w:r>
      <w:r w:rsidR="00F1149A" w:rsidRPr="0037148E">
        <w:rPr>
          <w:rFonts w:ascii="Arial" w:hAnsi="Arial" w:cs="Arial"/>
          <w:b/>
          <w:bCs/>
          <w:smallCaps/>
          <w:sz w:val="20"/>
          <w:szCs w:val="20"/>
        </w:rPr>
        <w:t>.</w:t>
      </w:r>
      <w:r w:rsidR="0037148E" w:rsidRPr="0037148E">
        <w:rPr>
          <w:rFonts w:ascii="Arial" w:hAnsi="Arial" w:cs="Arial"/>
          <w:b/>
          <w:bCs/>
          <w:smallCaps/>
          <w:sz w:val="20"/>
          <w:szCs w:val="20"/>
        </w:rPr>
        <w:t xml:space="preserve"> META DO SEGMENTO DE RENDA FIXA</w:t>
      </w:r>
    </w:p>
    <w:p w:rsidR="00DA47E9" w:rsidRPr="0037148E" w:rsidRDefault="00DA47E9" w:rsidP="0037148E">
      <w:pPr>
        <w:spacing w:before="120" w:after="120" w:line="312" w:lineRule="auto"/>
        <w:ind w:firstLine="1418"/>
        <w:contextualSpacing/>
        <w:jc w:val="both"/>
        <w:rPr>
          <w:rFonts w:ascii="Arial" w:hAnsi="Arial" w:cs="Arial"/>
          <w:b/>
          <w:sz w:val="20"/>
          <w:szCs w:val="20"/>
        </w:rPr>
      </w:pPr>
      <w:bookmarkStart w:id="24" w:name="_Toc57181646"/>
      <w:bookmarkStart w:id="25" w:name="_Toc89348062"/>
      <w:bookmarkStart w:id="26" w:name="_Toc152756997"/>
      <w:bookmarkEnd w:id="23"/>
      <w:r w:rsidRPr="0037148E">
        <w:rPr>
          <w:rFonts w:ascii="Arial" w:hAnsi="Arial" w:cs="Arial"/>
          <w:b/>
          <w:sz w:val="20"/>
          <w:szCs w:val="20"/>
        </w:rPr>
        <w:sym w:font="Wingdings" w:char="F0D8"/>
      </w:r>
      <w:r w:rsidRPr="0037148E">
        <w:rPr>
          <w:rFonts w:ascii="Arial" w:hAnsi="Arial" w:cs="Arial"/>
          <w:b/>
          <w:sz w:val="20"/>
          <w:szCs w:val="20"/>
        </w:rPr>
        <w:t>Benchmark</w:t>
      </w:r>
    </w:p>
    <w:bookmarkEnd w:id="24"/>
    <w:bookmarkEnd w:id="25"/>
    <w:bookmarkEnd w:id="26"/>
    <w:p w:rsidR="00514ED4" w:rsidRPr="0037148E" w:rsidRDefault="00514ED4" w:rsidP="0037148E">
      <w:pPr>
        <w:spacing w:before="120" w:after="240" w:line="312" w:lineRule="auto"/>
        <w:ind w:firstLine="1418"/>
        <w:contextualSpacing/>
        <w:jc w:val="both"/>
        <w:rPr>
          <w:rFonts w:ascii="Arial" w:hAnsi="Arial" w:cs="Arial"/>
          <w:sz w:val="20"/>
          <w:szCs w:val="20"/>
        </w:rPr>
      </w:pPr>
      <w:r w:rsidRPr="0037148E">
        <w:rPr>
          <w:rFonts w:ascii="Arial" w:hAnsi="Arial" w:cs="Arial"/>
          <w:sz w:val="20"/>
          <w:szCs w:val="20"/>
        </w:rPr>
        <w:t xml:space="preserve">Para o segmento de renda fixa, o </w:t>
      </w:r>
      <w:r w:rsidRPr="0037148E">
        <w:rPr>
          <w:rFonts w:ascii="Arial" w:hAnsi="Arial" w:cs="Arial"/>
          <w:b/>
          <w:i/>
          <w:sz w:val="20"/>
          <w:szCs w:val="20"/>
        </w:rPr>
        <w:t>benchmark</w:t>
      </w:r>
      <w:r w:rsidRPr="0037148E">
        <w:rPr>
          <w:rFonts w:ascii="Arial" w:hAnsi="Arial" w:cs="Arial"/>
          <w:sz w:val="20"/>
          <w:szCs w:val="20"/>
        </w:rPr>
        <w:t xml:space="preserve"> utilizado </w:t>
      </w:r>
      <w:r w:rsidR="0067636A" w:rsidRPr="0037148E">
        <w:rPr>
          <w:rFonts w:ascii="Arial" w:hAnsi="Arial" w:cs="Arial"/>
          <w:sz w:val="20"/>
          <w:szCs w:val="20"/>
        </w:rPr>
        <w:t>será o definido na política de investimentos d</w:t>
      </w:r>
      <w:r w:rsidR="003E3A69" w:rsidRPr="0037148E">
        <w:rPr>
          <w:rFonts w:ascii="Arial" w:hAnsi="Arial" w:cs="Arial"/>
          <w:sz w:val="20"/>
          <w:szCs w:val="20"/>
        </w:rPr>
        <w:t>o fundo</w:t>
      </w:r>
      <w:r w:rsidRPr="0037148E">
        <w:rPr>
          <w:rFonts w:ascii="Arial" w:hAnsi="Arial" w:cs="Arial"/>
          <w:sz w:val="20"/>
          <w:szCs w:val="20"/>
        </w:rPr>
        <w:t>.</w:t>
      </w:r>
    </w:p>
    <w:p w:rsidR="00DA47E9" w:rsidRPr="0037148E" w:rsidRDefault="00DA47E9" w:rsidP="0037148E">
      <w:pPr>
        <w:spacing w:before="120" w:after="120" w:line="312" w:lineRule="auto"/>
        <w:ind w:firstLine="1418"/>
        <w:contextualSpacing/>
        <w:jc w:val="both"/>
        <w:rPr>
          <w:rFonts w:ascii="Arial" w:hAnsi="Arial" w:cs="Arial"/>
          <w:b/>
          <w:sz w:val="20"/>
          <w:szCs w:val="20"/>
        </w:rPr>
      </w:pPr>
      <w:r w:rsidRPr="0037148E">
        <w:rPr>
          <w:rFonts w:ascii="Arial" w:hAnsi="Arial" w:cs="Arial"/>
          <w:b/>
          <w:sz w:val="20"/>
          <w:szCs w:val="20"/>
        </w:rPr>
        <w:sym w:font="Wingdings" w:char="F0D8"/>
      </w:r>
      <w:r w:rsidRPr="0037148E">
        <w:rPr>
          <w:rFonts w:ascii="Arial" w:hAnsi="Arial" w:cs="Arial"/>
          <w:b/>
          <w:sz w:val="20"/>
          <w:szCs w:val="20"/>
        </w:rPr>
        <w:t>Ativos Elegíveis</w:t>
      </w:r>
    </w:p>
    <w:p w:rsidR="002760AA" w:rsidRDefault="00354AB0" w:rsidP="0037148E">
      <w:pPr>
        <w:spacing w:before="120" w:after="720" w:line="312" w:lineRule="auto"/>
        <w:ind w:firstLine="1418"/>
        <w:contextualSpacing/>
        <w:jc w:val="both"/>
        <w:rPr>
          <w:rFonts w:ascii="Arial" w:hAnsi="Arial" w:cs="Arial"/>
          <w:sz w:val="20"/>
          <w:szCs w:val="20"/>
        </w:rPr>
      </w:pPr>
      <w:r w:rsidRPr="00CF0E68">
        <w:rPr>
          <w:rFonts w:ascii="Arial" w:hAnsi="Arial" w:cs="Arial"/>
          <w:sz w:val="20"/>
          <w:szCs w:val="20"/>
        </w:rPr>
        <w:t xml:space="preserve">Serão considerados ativos elegíveis para o segmento de renda fixa, os títulos e valores mobiliários permitidos pela legislação vigente aplicável aos </w:t>
      </w:r>
      <w:r w:rsidR="00B9513A" w:rsidRPr="00CF0E68">
        <w:rPr>
          <w:rFonts w:ascii="Arial" w:hAnsi="Arial" w:cs="Arial"/>
          <w:sz w:val="20"/>
          <w:szCs w:val="20"/>
        </w:rPr>
        <w:t>Regime</w:t>
      </w:r>
      <w:r w:rsidR="003E3A69">
        <w:rPr>
          <w:rFonts w:ascii="Arial" w:hAnsi="Arial" w:cs="Arial"/>
          <w:sz w:val="20"/>
          <w:szCs w:val="20"/>
        </w:rPr>
        <w:t>s</w:t>
      </w:r>
      <w:r w:rsidR="00B9513A" w:rsidRPr="00CF0E68">
        <w:rPr>
          <w:rFonts w:ascii="Arial" w:hAnsi="Arial" w:cs="Arial"/>
          <w:sz w:val="20"/>
          <w:szCs w:val="20"/>
        </w:rPr>
        <w:t xml:space="preserve"> Próprio de Previdência Social</w:t>
      </w:r>
      <w:r w:rsidRPr="00CF0E68">
        <w:rPr>
          <w:rFonts w:ascii="Arial" w:hAnsi="Arial" w:cs="Arial"/>
          <w:sz w:val="20"/>
          <w:szCs w:val="20"/>
        </w:rPr>
        <w:t>.</w:t>
      </w:r>
      <w:bookmarkStart w:id="27" w:name="_Toc184817255"/>
    </w:p>
    <w:p w:rsidR="002E4B4D" w:rsidRPr="0037148E" w:rsidRDefault="002E4B4D" w:rsidP="002760AA">
      <w:pPr>
        <w:spacing w:before="120" w:after="720" w:line="312" w:lineRule="auto"/>
        <w:contextualSpacing/>
        <w:jc w:val="both"/>
        <w:rPr>
          <w:rFonts w:ascii="Arial" w:hAnsi="Arial" w:cs="Arial"/>
          <w:b/>
          <w:bCs/>
          <w:smallCaps/>
          <w:sz w:val="20"/>
          <w:szCs w:val="20"/>
        </w:rPr>
      </w:pPr>
      <w:r w:rsidRPr="0037148E">
        <w:rPr>
          <w:rFonts w:ascii="Arial" w:hAnsi="Arial" w:cs="Arial"/>
          <w:b/>
          <w:bCs/>
          <w:smallCaps/>
          <w:sz w:val="20"/>
          <w:szCs w:val="20"/>
        </w:rPr>
        <w:t>5.4</w:t>
      </w:r>
      <w:r w:rsidR="0037148E" w:rsidRPr="0037148E">
        <w:rPr>
          <w:rFonts w:ascii="Arial" w:hAnsi="Arial" w:cs="Arial"/>
          <w:b/>
          <w:bCs/>
          <w:smallCaps/>
          <w:sz w:val="20"/>
          <w:szCs w:val="20"/>
        </w:rPr>
        <w:t>. META DO SEGMENTO DE RENDA VARIÁVEL</w:t>
      </w:r>
    </w:p>
    <w:bookmarkEnd w:id="27"/>
    <w:p w:rsidR="002E4B4D" w:rsidRPr="0037148E" w:rsidRDefault="002E4B4D" w:rsidP="0037148E">
      <w:pPr>
        <w:spacing w:before="120" w:after="120" w:line="312" w:lineRule="auto"/>
        <w:ind w:firstLine="1418"/>
        <w:contextualSpacing/>
        <w:jc w:val="both"/>
        <w:rPr>
          <w:rFonts w:ascii="Arial" w:hAnsi="Arial" w:cs="Arial"/>
          <w:b/>
          <w:sz w:val="20"/>
          <w:szCs w:val="20"/>
        </w:rPr>
      </w:pPr>
      <w:r w:rsidRPr="0037148E">
        <w:rPr>
          <w:rFonts w:ascii="Arial" w:hAnsi="Arial" w:cs="Arial"/>
          <w:b/>
          <w:sz w:val="20"/>
          <w:szCs w:val="20"/>
        </w:rPr>
        <w:sym w:font="Wingdings" w:char="F0D8"/>
      </w:r>
      <w:r w:rsidRPr="0037148E">
        <w:rPr>
          <w:rFonts w:ascii="Arial" w:hAnsi="Arial" w:cs="Arial"/>
          <w:b/>
          <w:sz w:val="20"/>
          <w:szCs w:val="20"/>
        </w:rPr>
        <w:t>Benchmark</w:t>
      </w:r>
    </w:p>
    <w:p w:rsidR="00514ED4" w:rsidRPr="0037148E" w:rsidRDefault="00514ED4" w:rsidP="0037148E">
      <w:pPr>
        <w:spacing w:before="120" w:after="240" w:line="312" w:lineRule="auto"/>
        <w:ind w:firstLine="1418"/>
        <w:contextualSpacing/>
        <w:jc w:val="both"/>
        <w:rPr>
          <w:rFonts w:ascii="Arial" w:hAnsi="Arial" w:cs="Arial"/>
          <w:sz w:val="20"/>
          <w:szCs w:val="20"/>
        </w:rPr>
      </w:pPr>
      <w:r w:rsidRPr="0037148E">
        <w:rPr>
          <w:rFonts w:ascii="Arial" w:hAnsi="Arial" w:cs="Arial"/>
          <w:sz w:val="20"/>
          <w:szCs w:val="20"/>
        </w:rPr>
        <w:t xml:space="preserve">Para o segmento de renda variável, </w:t>
      </w:r>
      <w:r w:rsidR="000806D1" w:rsidRPr="0037148E">
        <w:rPr>
          <w:rFonts w:ascii="Arial" w:hAnsi="Arial" w:cs="Arial"/>
          <w:sz w:val="20"/>
          <w:szCs w:val="20"/>
        </w:rPr>
        <w:t xml:space="preserve">o </w:t>
      </w:r>
      <w:r w:rsidR="000806D1" w:rsidRPr="0037148E">
        <w:rPr>
          <w:rFonts w:ascii="Arial" w:hAnsi="Arial" w:cs="Arial"/>
          <w:b/>
          <w:i/>
          <w:sz w:val="20"/>
          <w:szCs w:val="20"/>
        </w:rPr>
        <w:t>benchmark</w:t>
      </w:r>
      <w:r w:rsidR="000806D1" w:rsidRPr="0037148E">
        <w:rPr>
          <w:rFonts w:ascii="Arial" w:hAnsi="Arial" w:cs="Arial"/>
          <w:sz w:val="20"/>
          <w:szCs w:val="20"/>
        </w:rPr>
        <w:t xml:space="preserve"> utilizado será o definido na política de investimentos d</w:t>
      </w:r>
      <w:r w:rsidR="003E3A69" w:rsidRPr="0037148E">
        <w:rPr>
          <w:rFonts w:ascii="Arial" w:hAnsi="Arial" w:cs="Arial"/>
          <w:sz w:val="20"/>
          <w:szCs w:val="20"/>
        </w:rPr>
        <w:t>o fundo</w:t>
      </w:r>
      <w:r w:rsidR="000806D1" w:rsidRPr="0037148E">
        <w:rPr>
          <w:rFonts w:ascii="Arial" w:hAnsi="Arial" w:cs="Arial"/>
          <w:sz w:val="20"/>
          <w:szCs w:val="20"/>
        </w:rPr>
        <w:t>.</w:t>
      </w:r>
    </w:p>
    <w:p w:rsidR="003D6437" w:rsidRPr="0037148E" w:rsidRDefault="003D6437" w:rsidP="0037148E">
      <w:pPr>
        <w:spacing w:before="120" w:after="120" w:line="312" w:lineRule="auto"/>
        <w:ind w:firstLine="1418"/>
        <w:contextualSpacing/>
        <w:jc w:val="both"/>
        <w:rPr>
          <w:rFonts w:ascii="Arial" w:hAnsi="Arial" w:cs="Arial"/>
          <w:b/>
          <w:sz w:val="20"/>
          <w:szCs w:val="20"/>
        </w:rPr>
      </w:pPr>
      <w:r w:rsidRPr="0037148E">
        <w:rPr>
          <w:rFonts w:ascii="Arial" w:hAnsi="Arial" w:cs="Arial"/>
          <w:b/>
          <w:sz w:val="20"/>
          <w:szCs w:val="20"/>
        </w:rPr>
        <w:sym w:font="Wingdings" w:char="F0D8"/>
      </w:r>
      <w:r w:rsidRPr="0037148E">
        <w:rPr>
          <w:rFonts w:ascii="Arial" w:hAnsi="Arial" w:cs="Arial"/>
          <w:b/>
          <w:sz w:val="20"/>
          <w:szCs w:val="20"/>
        </w:rPr>
        <w:t>Ativos Elegíveis</w:t>
      </w:r>
    </w:p>
    <w:p w:rsidR="00514ED4" w:rsidRPr="00CF0E68" w:rsidRDefault="00354AB0" w:rsidP="0037148E">
      <w:pPr>
        <w:spacing w:before="120" w:after="360" w:line="312" w:lineRule="auto"/>
        <w:ind w:firstLine="1418"/>
        <w:contextualSpacing/>
        <w:jc w:val="both"/>
        <w:rPr>
          <w:rFonts w:ascii="Arial" w:hAnsi="Arial" w:cs="Arial"/>
          <w:sz w:val="20"/>
          <w:szCs w:val="20"/>
        </w:rPr>
      </w:pPr>
      <w:r w:rsidRPr="00CF0E68">
        <w:rPr>
          <w:rFonts w:ascii="Arial" w:hAnsi="Arial" w:cs="Arial"/>
          <w:sz w:val="20"/>
          <w:szCs w:val="20"/>
        </w:rPr>
        <w:t xml:space="preserve">As </w:t>
      </w:r>
      <w:r w:rsidR="00C86E2F">
        <w:rPr>
          <w:rFonts w:ascii="Arial" w:hAnsi="Arial" w:cs="Arial"/>
          <w:sz w:val="20"/>
          <w:szCs w:val="20"/>
        </w:rPr>
        <w:t>cotas de fundos de investimento</w:t>
      </w:r>
      <w:r w:rsidRPr="00CF0E68">
        <w:rPr>
          <w:rFonts w:ascii="Arial" w:hAnsi="Arial" w:cs="Arial"/>
          <w:sz w:val="20"/>
          <w:szCs w:val="20"/>
        </w:rPr>
        <w:t xml:space="preserve"> referenciados em índices do mercado de ações</w:t>
      </w:r>
      <w:r w:rsidR="003C24E4">
        <w:rPr>
          <w:rFonts w:ascii="Arial" w:hAnsi="Arial" w:cs="Arial"/>
          <w:sz w:val="20"/>
          <w:szCs w:val="20"/>
        </w:rPr>
        <w:t>, cotas</w:t>
      </w:r>
      <w:r w:rsidR="00C86E2F">
        <w:rPr>
          <w:rFonts w:ascii="Arial" w:hAnsi="Arial" w:cs="Arial"/>
          <w:sz w:val="20"/>
          <w:szCs w:val="20"/>
        </w:rPr>
        <w:t xml:space="preserve"> de fundos de investimento</w:t>
      </w:r>
      <w:r w:rsidR="00895FF5">
        <w:rPr>
          <w:rFonts w:ascii="Arial" w:hAnsi="Arial" w:cs="Arial"/>
          <w:sz w:val="20"/>
          <w:szCs w:val="20"/>
        </w:rPr>
        <w:t xml:space="preserve"> </w:t>
      </w:r>
      <w:r w:rsidR="00C86E2F">
        <w:rPr>
          <w:rFonts w:ascii="Arial" w:hAnsi="Arial" w:cs="Arial"/>
          <w:sz w:val="20"/>
          <w:szCs w:val="20"/>
        </w:rPr>
        <w:t>em participações e cotas de fundos de investimento</w:t>
      </w:r>
      <w:r w:rsidR="00895FF5">
        <w:rPr>
          <w:rFonts w:ascii="Arial" w:hAnsi="Arial" w:cs="Arial"/>
          <w:sz w:val="20"/>
          <w:szCs w:val="20"/>
        </w:rPr>
        <w:t xml:space="preserve"> </w:t>
      </w:r>
      <w:r w:rsidR="00C86E2F">
        <w:rPr>
          <w:rFonts w:ascii="Arial" w:hAnsi="Arial" w:cs="Arial"/>
          <w:sz w:val="20"/>
          <w:szCs w:val="20"/>
        </w:rPr>
        <w:t xml:space="preserve">imobiliário, </w:t>
      </w:r>
      <w:r w:rsidRPr="00CF0E68">
        <w:rPr>
          <w:rFonts w:ascii="Arial" w:hAnsi="Arial" w:cs="Arial"/>
          <w:sz w:val="20"/>
          <w:szCs w:val="20"/>
        </w:rPr>
        <w:t>são consideradas como ativos elegíveis</w:t>
      </w:r>
      <w:r w:rsidR="00376762" w:rsidRPr="00CF0E68">
        <w:rPr>
          <w:rFonts w:ascii="Arial" w:hAnsi="Arial" w:cs="Arial"/>
          <w:sz w:val="20"/>
          <w:szCs w:val="20"/>
        </w:rPr>
        <w:t xml:space="preserve"> no segmento de renda variável</w:t>
      </w:r>
      <w:r w:rsidR="00895FF5">
        <w:rPr>
          <w:rFonts w:ascii="Arial" w:hAnsi="Arial" w:cs="Arial"/>
          <w:sz w:val="20"/>
          <w:szCs w:val="20"/>
        </w:rPr>
        <w:t xml:space="preserve"> </w:t>
      </w:r>
      <w:r w:rsidR="00DA04CD" w:rsidRPr="00CF0E68">
        <w:rPr>
          <w:rFonts w:ascii="Arial" w:hAnsi="Arial" w:cs="Arial"/>
          <w:sz w:val="20"/>
          <w:szCs w:val="20"/>
        </w:rPr>
        <w:t>permitidos pela le</w:t>
      </w:r>
      <w:r w:rsidR="00854974">
        <w:rPr>
          <w:rFonts w:ascii="Arial" w:hAnsi="Arial" w:cs="Arial"/>
          <w:sz w:val="20"/>
          <w:szCs w:val="20"/>
        </w:rPr>
        <w:t>gislação vigente aplicável ao</w:t>
      </w:r>
      <w:r w:rsidR="00DA04CD" w:rsidRPr="00CF0E68">
        <w:rPr>
          <w:rFonts w:ascii="Arial" w:hAnsi="Arial" w:cs="Arial"/>
          <w:sz w:val="20"/>
          <w:szCs w:val="20"/>
        </w:rPr>
        <w:t xml:space="preserve"> Regime Próprio de Previdência Social</w:t>
      </w:r>
      <w:r w:rsidR="0037148E">
        <w:rPr>
          <w:rFonts w:ascii="Arial" w:hAnsi="Arial" w:cs="Arial"/>
          <w:sz w:val="20"/>
          <w:szCs w:val="20"/>
        </w:rPr>
        <w:t>.</w:t>
      </w:r>
    </w:p>
    <w:p w:rsidR="0034258D" w:rsidRPr="00E830C3" w:rsidRDefault="0034258D" w:rsidP="002760AA">
      <w:pPr>
        <w:tabs>
          <w:tab w:val="left" w:pos="1134"/>
        </w:tabs>
        <w:autoSpaceDE w:val="0"/>
        <w:autoSpaceDN w:val="0"/>
        <w:adjustRightInd w:val="0"/>
        <w:spacing w:before="120" w:after="120" w:line="312" w:lineRule="auto"/>
        <w:contextualSpacing/>
        <w:rPr>
          <w:rFonts w:ascii="Arial" w:hAnsi="Arial" w:cs="Arial"/>
          <w:b/>
          <w:bCs/>
          <w:smallCaps/>
          <w:sz w:val="4"/>
          <w:szCs w:val="4"/>
        </w:rPr>
      </w:pPr>
      <w:bookmarkStart w:id="28" w:name="_Toc184817256"/>
    </w:p>
    <w:p w:rsidR="00B9513A" w:rsidRPr="0037148E" w:rsidRDefault="00B9513A" w:rsidP="002760AA">
      <w:pPr>
        <w:tabs>
          <w:tab w:val="left" w:pos="1134"/>
        </w:tabs>
        <w:autoSpaceDE w:val="0"/>
        <w:autoSpaceDN w:val="0"/>
        <w:adjustRightInd w:val="0"/>
        <w:spacing w:before="120" w:after="120" w:line="312" w:lineRule="auto"/>
        <w:contextualSpacing/>
        <w:rPr>
          <w:rFonts w:ascii="Arial" w:hAnsi="Arial" w:cs="Arial"/>
          <w:b/>
          <w:bCs/>
          <w:smallCaps/>
          <w:sz w:val="20"/>
          <w:szCs w:val="20"/>
        </w:rPr>
      </w:pPr>
      <w:r w:rsidRPr="0037148E">
        <w:rPr>
          <w:rFonts w:ascii="Arial" w:hAnsi="Arial" w:cs="Arial"/>
          <w:b/>
          <w:bCs/>
          <w:smallCaps/>
          <w:sz w:val="20"/>
          <w:szCs w:val="20"/>
        </w:rPr>
        <w:t>5.</w:t>
      </w:r>
      <w:r w:rsidR="00582C00" w:rsidRPr="0037148E">
        <w:rPr>
          <w:rFonts w:ascii="Arial" w:hAnsi="Arial" w:cs="Arial"/>
          <w:b/>
          <w:bCs/>
          <w:smallCaps/>
          <w:sz w:val="20"/>
          <w:szCs w:val="20"/>
        </w:rPr>
        <w:t>5</w:t>
      </w:r>
      <w:r w:rsidR="00F1149A" w:rsidRPr="0037148E">
        <w:rPr>
          <w:rFonts w:ascii="Arial" w:hAnsi="Arial" w:cs="Arial"/>
          <w:b/>
          <w:bCs/>
          <w:smallCaps/>
          <w:sz w:val="20"/>
          <w:szCs w:val="20"/>
        </w:rPr>
        <w:t>.</w:t>
      </w:r>
      <w:r w:rsidR="0037148E" w:rsidRPr="0037148E">
        <w:rPr>
          <w:rFonts w:ascii="Arial" w:hAnsi="Arial" w:cs="Arial"/>
          <w:b/>
          <w:bCs/>
          <w:smallCaps/>
          <w:sz w:val="20"/>
          <w:szCs w:val="20"/>
        </w:rPr>
        <w:t xml:space="preserve"> SEGMENTO DE IMÓVEIS</w:t>
      </w:r>
    </w:p>
    <w:bookmarkEnd w:id="28"/>
    <w:p w:rsidR="002760AA" w:rsidRDefault="0099756B" w:rsidP="0037148E">
      <w:pPr>
        <w:spacing w:before="120" w:after="600" w:line="312" w:lineRule="auto"/>
        <w:ind w:firstLine="1418"/>
        <w:contextualSpacing/>
        <w:jc w:val="both"/>
        <w:rPr>
          <w:rFonts w:ascii="Arial" w:hAnsi="Arial" w:cs="Arial"/>
          <w:sz w:val="20"/>
          <w:szCs w:val="20"/>
        </w:rPr>
      </w:pPr>
      <w:r w:rsidRPr="00206E20">
        <w:rPr>
          <w:rFonts w:ascii="Arial" w:hAnsi="Arial" w:cs="Arial"/>
          <w:sz w:val="20"/>
          <w:szCs w:val="20"/>
        </w:rPr>
        <w:t xml:space="preserve">No segmento de </w:t>
      </w:r>
      <w:r w:rsidR="00854974">
        <w:rPr>
          <w:rFonts w:ascii="Arial" w:hAnsi="Arial" w:cs="Arial"/>
          <w:sz w:val="20"/>
          <w:szCs w:val="20"/>
        </w:rPr>
        <w:t>i</w:t>
      </w:r>
      <w:r w:rsidRPr="00206E20">
        <w:rPr>
          <w:rFonts w:ascii="Arial" w:hAnsi="Arial" w:cs="Arial"/>
          <w:sz w:val="20"/>
          <w:szCs w:val="20"/>
        </w:rPr>
        <w:t xml:space="preserve">móveis, a AMPREV não alocará recursos. </w:t>
      </w:r>
    </w:p>
    <w:p w:rsidR="002760AA" w:rsidRDefault="002760AA" w:rsidP="002760AA">
      <w:pPr>
        <w:spacing w:before="120" w:after="600" w:line="312" w:lineRule="auto"/>
        <w:ind w:firstLine="1134"/>
        <w:contextualSpacing/>
        <w:jc w:val="both"/>
        <w:rPr>
          <w:rFonts w:ascii="Arial" w:hAnsi="Arial" w:cs="Arial"/>
          <w:sz w:val="20"/>
          <w:szCs w:val="20"/>
        </w:rPr>
      </w:pPr>
    </w:p>
    <w:p w:rsidR="000330E5" w:rsidRPr="007F68A4" w:rsidRDefault="000330E5" w:rsidP="00A26218">
      <w:pPr>
        <w:spacing w:before="120" w:after="720" w:line="384" w:lineRule="auto"/>
        <w:contextualSpacing/>
        <w:jc w:val="both"/>
        <w:rPr>
          <w:rFonts w:ascii="Arial" w:hAnsi="Arial" w:cs="Arial"/>
          <w:b/>
          <w:bCs/>
          <w:smallCaps/>
          <w:color w:val="FF0000"/>
        </w:rPr>
      </w:pPr>
      <w:r>
        <w:rPr>
          <w:rFonts w:ascii="Arial" w:hAnsi="Arial" w:cs="Arial"/>
          <w:b/>
          <w:bCs/>
          <w:smallCaps/>
        </w:rPr>
        <w:t>6 – DIRETRIZES DE APLICAÇÃO</w:t>
      </w:r>
    </w:p>
    <w:p w:rsidR="000330E5" w:rsidRDefault="000330E5" w:rsidP="00A26218">
      <w:pPr>
        <w:autoSpaceDE w:val="0"/>
        <w:autoSpaceDN w:val="0"/>
        <w:adjustRightInd w:val="0"/>
        <w:spacing w:before="120" w:after="120" w:line="384" w:lineRule="auto"/>
        <w:contextualSpacing/>
        <w:rPr>
          <w:rFonts w:ascii="Arial" w:hAnsi="Arial" w:cs="Arial"/>
          <w:bCs/>
          <w:smallCaps/>
          <w:sz w:val="20"/>
          <w:szCs w:val="20"/>
        </w:rPr>
      </w:pPr>
      <w:r w:rsidRPr="00431D0F">
        <w:rPr>
          <w:rFonts w:ascii="Arial" w:hAnsi="Arial" w:cs="Arial"/>
          <w:b/>
          <w:bCs/>
          <w:smallCaps/>
          <w:sz w:val="20"/>
          <w:szCs w:val="20"/>
        </w:rPr>
        <w:t xml:space="preserve">6.1. RETROSPECTIVA DO MERCADO EM </w:t>
      </w:r>
      <w:r>
        <w:rPr>
          <w:rFonts w:ascii="Arial" w:hAnsi="Arial" w:cs="Arial"/>
          <w:b/>
          <w:bCs/>
          <w:smallCaps/>
          <w:sz w:val="20"/>
          <w:szCs w:val="20"/>
        </w:rPr>
        <w:t>2014</w:t>
      </w:r>
    </w:p>
    <w:p w:rsidR="000330E5" w:rsidRPr="00E830C3" w:rsidRDefault="000330E5" w:rsidP="00A26218">
      <w:pPr>
        <w:autoSpaceDE w:val="0"/>
        <w:autoSpaceDN w:val="0"/>
        <w:adjustRightInd w:val="0"/>
        <w:spacing w:before="120" w:after="120" w:line="384" w:lineRule="auto"/>
        <w:ind w:firstLine="1418"/>
        <w:contextualSpacing/>
        <w:jc w:val="both"/>
        <w:rPr>
          <w:rFonts w:ascii="Arial" w:hAnsi="Arial" w:cs="Arial"/>
          <w:sz w:val="20"/>
          <w:szCs w:val="20"/>
        </w:rPr>
      </w:pPr>
      <w:r>
        <w:rPr>
          <w:rFonts w:ascii="Arial" w:hAnsi="Arial" w:cs="Arial"/>
          <w:sz w:val="20"/>
          <w:szCs w:val="20"/>
        </w:rPr>
        <w:t>No Cenário Internacional, conforme esperado, o FED (Banco Central Americano)</w:t>
      </w:r>
      <w:r w:rsidR="007B7904">
        <w:rPr>
          <w:rFonts w:ascii="Arial" w:hAnsi="Arial" w:cs="Arial"/>
          <w:sz w:val="20"/>
          <w:szCs w:val="20"/>
        </w:rPr>
        <w:t xml:space="preserve"> </w:t>
      </w:r>
      <w:r>
        <w:rPr>
          <w:rFonts w:ascii="Arial" w:hAnsi="Arial" w:cs="Arial"/>
          <w:sz w:val="20"/>
          <w:szCs w:val="20"/>
        </w:rPr>
        <w:t>anunciou o fim de seu programa de compras de ativos, dando mais um passo em direção à normalização da política monetária. A atividade na Zona do Euro continuou piorando com o aumento do risco de deflação. A China continuou desacelerando gradualmente o seu crescimento.</w:t>
      </w:r>
    </w:p>
    <w:p w:rsidR="000330E5" w:rsidRPr="00730DEE" w:rsidRDefault="000330E5" w:rsidP="00A26218">
      <w:pPr>
        <w:autoSpaceDE w:val="0"/>
        <w:autoSpaceDN w:val="0"/>
        <w:adjustRightInd w:val="0"/>
        <w:spacing w:before="120" w:after="120" w:line="384" w:lineRule="auto"/>
        <w:ind w:firstLine="1418"/>
        <w:contextualSpacing/>
        <w:jc w:val="both"/>
        <w:rPr>
          <w:rFonts w:ascii="Arial" w:hAnsi="Arial" w:cs="Arial"/>
          <w:sz w:val="20"/>
          <w:szCs w:val="20"/>
        </w:rPr>
      </w:pPr>
      <w:r w:rsidRPr="00730DEE">
        <w:rPr>
          <w:rFonts w:ascii="Arial" w:hAnsi="Arial" w:cs="Arial"/>
          <w:sz w:val="20"/>
          <w:szCs w:val="20"/>
        </w:rPr>
        <w:t>No Brasil tivemos um ano desafiador, o modelo de crescimento atual perdeu força, com espaços ociosos no mercado de trabalho, crédito e infraestrutura. O diagnóstico incorreto levou à ampliação dos estímulos de consumo privado e público. A restrição na oferta manteve a inflação alta, crescimento econômico baixo e deterioração das contas externas. As intervenções em diversos preços amplificaram o quadro de desequilíbrios, levando a queda da produtividade.</w:t>
      </w:r>
    </w:p>
    <w:p w:rsidR="000330E5" w:rsidRPr="00730DEE" w:rsidRDefault="000330E5" w:rsidP="00A26218">
      <w:pPr>
        <w:autoSpaceDE w:val="0"/>
        <w:autoSpaceDN w:val="0"/>
        <w:adjustRightInd w:val="0"/>
        <w:spacing w:before="120" w:after="120" w:line="384" w:lineRule="auto"/>
        <w:ind w:firstLine="1418"/>
        <w:contextualSpacing/>
        <w:jc w:val="both"/>
        <w:rPr>
          <w:rFonts w:ascii="Arial" w:hAnsi="Arial" w:cs="Arial"/>
          <w:sz w:val="20"/>
          <w:szCs w:val="20"/>
        </w:rPr>
      </w:pPr>
      <w:r w:rsidRPr="00730DEE">
        <w:rPr>
          <w:rFonts w:ascii="Arial" w:hAnsi="Arial" w:cs="Arial"/>
          <w:sz w:val="20"/>
          <w:szCs w:val="20"/>
        </w:rPr>
        <w:lastRenderedPageBreak/>
        <w:t xml:space="preserve"> No 3º. Trimestre, os dados reforçaram a expectativa de PIB próximo de 0% em 2014, investimentos fortemente afetados pela queda dos indicadores de confiança, até o consumo e o setor de serviços deram sinal de fadiga.</w:t>
      </w:r>
    </w:p>
    <w:p w:rsidR="00EB08B1" w:rsidRDefault="000330E5" w:rsidP="00A26218">
      <w:pPr>
        <w:autoSpaceDE w:val="0"/>
        <w:autoSpaceDN w:val="0"/>
        <w:adjustRightInd w:val="0"/>
        <w:spacing w:before="120" w:after="120" w:line="384" w:lineRule="auto"/>
        <w:ind w:firstLine="1418"/>
        <w:contextualSpacing/>
        <w:jc w:val="both"/>
        <w:rPr>
          <w:rFonts w:ascii="Arial" w:hAnsi="Arial" w:cs="Arial"/>
          <w:sz w:val="20"/>
          <w:szCs w:val="20"/>
        </w:rPr>
      </w:pPr>
      <w:r w:rsidRPr="00730DEE">
        <w:rPr>
          <w:rFonts w:ascii="Arial" w:hAnsi="Arial" w:cs="Arial"/>
          <w:sz w:val="20"/>
          <w:szCs w:val="20"/>
        </w:rPr>
        <w:t>O Comitê de Política Monetária – C</w:t>
      </w:r>
      <w:r w:rsidR="00EB08B1">
        <w:rPr>
          <w:rFonts w:ascii="Arial" w:hAnsi="Arial" w:cs="Arial"/>
          <w:sz w:val="20"/>
          <w:szCs w:val="20"/>
        </w:rPr>
        <w:t>OPOM</w:t>
      </w:r>
      <w:r w:rsidRPr="00730DEE">
        <w:rPr>
          <w:rFonts w:ascii="Arial" w:hAnsi="Arial" w:cs="Arial"/>
          <w:sz w:val="20"/>
          <w:szCs w:val="20"/>
        </w:rPr>
        <w:t xml:space="preserve"> descartou a redução dos juros, em virtude d</w:t>
      </w:r>
      <w:r w:rsidR="00EB08B1">
        <w:rPr>
          <w:rFonts w:ascii="Arial" w:hAnsi="Arial" w:cs="Arial"/>
          <w:sz w:val="20"/>
          <w:szCs w:val="20"/>
        </w:rPr>
        <w:t>a inflação persistente elevada.</w:t>
      </w:r>
    </w:p>
    <w:p w:rsidR="000330E5" w:rsidRDefault="000330E5" w:rsidP="00A26218">
      <w:pPr>
        <w:autoSpaceDE w:val="0"/>
        <w:autoSpaceDN w:val="0"/>
        <w:adjustRightInd w:val="0"/>
        <w:spacing w:before="120" w:after="120" w:line="384" w:lineRule="auto"/>
        <w:ind w:firstLine="1418"/>
        <w:contextualSpacing/>
        <w:jc w:val="both"/>
        <w:rPr>
          <w:rFonts w:ascii="Arial" w:hAnsi="Arial" w:cs="Arial"/>
          <w:sz w:val="20"/>
          <w:szCs w:val="20"/>
        </w:rPr>
      </w:pPr>
      <w:r w:rsidRPr="00730DEE">
        <w:rPr>
          <w:rFonts w:ascii="Arial" w:hAnsi="Arial" w:cs="Arial"/>
          <w:sz w:val="20"/>
          <w:szCs w:val="20"/>
        </w:rPr>
        <w:t>O Banco Central do Brasil – BCB, em seu relatório de inflação do 3º. Trimestre, manteve a avaliação de uma inflação ainda pressionada, política fiscal neutra e a necessidade de realinhamento de preços (câmbio e administrados)</w:t>
      </w:r>
      <w:r w:rsidR="00EB08B1">
        <w:rPr>
          <w:rFonts w:ascii="Arial" w:hAnsi="Arial" w:cs="Arial"/>
          <w:sz w:val="20"/>
          <w:szCs w:val="20"/>
        </w:rPr>
        <w:t>, com a</w:t>
      </w:r>
      <w:r w:rsidRPr="00730DEE">
        <w:rPr>
          <w:rFonts w:ascii="Arial" w:hAnsi="Arial" w:cs="Arial"/>
          <w:sz w:val="20"/>
          <w:szCs w:val="20"/>
        </w:rPr>
        <w:t xml:space="preserve"> expectativa de IPCA de 6,4</w:t>
      </w:r>
      <w:r w:rsidR="00EB08B1">
        <w:rPr>
          <w:rFonts w:ascii="Arial" w:hAnsi="Arial" w:cs="Arial"/>
          <w:sz w:val="20"/>
          <w:szCs w:val="20"/>
        </w:rPr>
        <w:t>%</w:t>
      </w:r>
      <w:r w:rsidRPr="00730DEE">
        <w:rPr>
          <w:rFonts w:ascii="Arial" w:hAnsi="Arial" w:cs="Arial"/>
          <w:sz w:val="20"/>
          <w:szCs w:val="20"/>
        </w:rPr>
        <w:t xml:space="preserve"> no fim de 2014.</w:t>
      </w:r>
    </w:p>
    <w:p w:rsidR="000330E5" w:rsidRDefault="00EB08B1" w:rsidP="00A26218">
      <w:pPr>
        <w:autoSpaceDE w:val="0"/>
        <w:autoSpaceDN w:val="0"/>
        <w:adjustRightInd w:val="0"/>
        <w:spacing w:before="120" w:after="120" w:line="384" w:lineRule="auto"/>
        <w:ind w:firstLine="1418"/>
        <w:contextualSpacing/>
        <w:jc w:val="both"/>
        <w:rPr>
          <w:rFonts w:ascii="Arial" w:hAnsi="Arial" w:cs="Arial"/>
          <w:sz w:val="20"/>
          <w:szCs w:val="20"/>
        </w:rPr>
      </w:pPr>
      <w:r>
        <w:rPr>
          <w:rFonts w:ascii="Arial" w:hAnsi="Arial" w:cs="Arial"/>
          <w:sz w:val="20"/>
          <w:szCs w:val="20"/>
        </w:rPr>
        <w:t>O mercado de renda variável oscilou por diversas situações de mercado, dentre a</w:t>
      </w:r>
      <w:r w:rsidR="002C74F5">
        <w:rPr>
          <w:rFonts w:ascii="Arial" w:hAnsi="Arial" w:cs="Arial"/>
          <w:sz w:val="20"/>
          <w:szCs w:val="20"/>
        </w:rPr>
        <w:t>s</w:t>
      </w:r>
      <w:r>
        <w:rPr>
          <w:rFonts w:ascii="Arial" w:hAnsi="Arial" w:cs="Arial"/>
          <w:sz w:val="20"/>
          <w:szCs w:val="20"/>
        </w:rPr>
        <w:t xml:space="preserve"> quais podemos destacar a desvalorização das commodities, o evento </w:t>
      </w:r>
      <w:r w:rsidR="002C74F5">
        <w:rPr>
          <w:rFonts w:ascii="Arial" w:hAnsi="Arial" w:cs="Arial"/>
          <w:sz w:val="20"/>
          <w:szCs w:val="20"/>
        </w:rPr>
        <w:t>da Copa do Mundo e em especial as eleições gerais do Brasil, gerando especulações que contribuíram para o mau desempenho do IBOVESPA, dificultando avaliação de produtos relacionados ao segmento.</w:t>
      </w:r>
    </w:p>
    <w:p w:rsidR="000330E5" w:rsidRPr="00730DEE" w:rsidRDefault="000330E5" w:rsidP="00A26218">
      <w:pPr>
        <w:autoSpaceDE w:val="0"/>
        <w:autoSpaceDN w:val="0"/>
        <w:adjustRightInd w:val="0"/>
        <w:spacing w:before="120" w:after="120" w:line="384" w:lineRule="auto"/>
        <w:ind w:firstLine="1418"/>
        <w:contextualSpacing/>
        <w:jc w:val="both"/>
        <w:rPr>
          <w:rFonts w:ascii="Arial" w:hAnsi="Arial" w:cs="Arial"/>
          <w:sz w:val="20"/>
          <w:szCs w:val="20"/>
        </w:rPr>
      </w:pPr>
    </w:p>
    <w:p w:rsidR="000330E5" w:rsidRDefault="000330E5" w:rsidP="00A26218">
      <w:pPr>
        <w:autoSpaceDE w:val="0"/>
        <w:autoSpaceDN w:val="0"/>
        <w:adjustRightInd w:val="0"/>
        <w:spacing w:before="120" w:line="384" w:lineRule="auto"/>
        <w:jc w:val="both"/>
        <w:rPr>
          <w:rFonts w:ascii="Arial" w:hAnsi="Arial" w:cs="Arial"/>
          <w:b/>
          <w:bCs/>
          <w:smallCaps/>
          <w:sz w:val="20"/>
          <w:szCs w:val="20"/>
        </w:rPr>
      </w:pPr>
      <w:r w:rsidRPr="00431D0F">
        <w:rPr>
          <w:rFonts w:ascii="Arial" w:hAnsi="Arial" w:cs="Arial"/>
          <w:b/>
          <w:bCs/>
          <w:smallCaps/>
          <w:sz w:val="20"/>
          <w:szCs w:val="20"/>
        </w:rPr>
        <w:t xml:space="preserve">6.2. </w:t>
      </w:r>
      <w:r w:rsidRPr="00BF74A4">
        <w:rPr>
          <w:rFonts w:ascii="Arial" w:hAnsi="Arial" w:cs="Arial"/>
          <w:b/>
          <w:bCs/>
          <w:smallCaps/>
          <w:sz w:val="20"/>
          <w:szCs w:val="20"/>
        </w:rPr>
        <w:t>PERSPECTIVAS DO MERCADO PARA 201</w:t>
      </w:r>
      <w:r w:rsidR="00EB08B1">
        <w:rPr>
          <w:rFonts w:ascii="Arial" w:hAnsi="Arial" w:cs="Arial"/>
          <w:b/>
          <w:bCs/>
          <w:smallCaps/>
          <w:sz w:val="20"/>
          <w:szCs w:val="20"/>
        </w:rPr>
        <w:t>5</w:t>
      </w:r>
    </w:p>
    <w:p w:rsidR="000330E5" w:rsidRDefault="000330E5" w:rsidP="00A26218">
      <w:pPr>
        <w:autoSpaceDE w:val="0"/>
        <w:autoSpaceDN w:val="0"/>
        <w:adjustRightInd w:val="0"/>
        <w:spacing w:before="120" w:line="384" w:lineRule="auto"/>
        <w:ind w:firstLine="1418"/>
        <w:jc w:val="both"/>
        <w:rPr>
          <w:rFonts w:ascii="Arial" w:hAnsi="Arial" w:cs="Arial"/>
          <w:bCs/>
          <w:sz w:val="20"/>
          <w:szCs w:val="20"/>
        </w:rPr>
      </w:pPr>
      <w:r>
        <w:rPr>
          <w:rFonts w:ascii="Arial" w:hAnsi="Arial" w:cs="Arial"/>
          <w:bCs/>
          <w:sz w:val="20"/>
          <w:szCs w:val="20"/>
        </w:rPr>
        <w:t xml:space="preserve">O ano de </w:t>
      </w:r>
      <w:r w:rsidRPr="002B59A1">
        <w:rPr>
          <w:rFonts w:ascii="Arial" w:hAnsi="Arial" w:cs="Arial"/>
          <w:bCs/>
          <w:sz w:val="20"/>
          <w:szCs w:val="20"/>
        </w:rPr>
        <w:t>201</w:t>
      </w:r>
      <w:r>
        <w:rPr>
          <w:rFonts w:ascii="Arial" w:hAnsi="Arial" w:cs="Arial"/>
          <w:bCs/>
          <w:sz w:val="20"/>
          <w:szCs w:val="20"/>
        </w:rPr>
        <w:t>5contempla ajustes na economia brasileira e global.</w:t>
      </w:r>
    </w:p>
    <w:p w:rsidR="000330E5" w:rsidRPr="00160D28" w:rsidRDefault="000330E5" w:rsidP="00A26218">
      <w:pPr>
        <w:autoSpaceDE w:val="0"/>
        <w:autoSpaceDN w:val="0"/>
        <w:adjustRightInd w:val="0"/>
        <w:spacing w:before="120" w:line="384" w:lineRule="auto"/>
        <w:ind w:firstLine="1418"/>
        <w:jc w:val="both"/>
        <w:rPr>
          <w:rFonts w:ascii="Arial" w:hAnsi="Arial" w:cs="Arial"/>
          <w:bCs/>
          <w:sz w:val="20"/>
          <w:szCs w:val="20"/>
        </w:rPr>
      </w:pPr>
      <w:r w:rsidRPr="00160D28">
        <w:rPr>
          <w:rFonts w:ascii="Arial" w:hAnsi="Arial" w:cs="Arial"/>
          <w:bCs/>
          <w:sz w:val="20"/>
          <w:szCs w:val="20"/>
        </w:rPr>
        <w:t>Apesar da incontestável recuperação da economia americana, as fragilidades na Zona do Euro, na China e no Japão têm produzido temores de um processo prolongado de baixa inflação no mundo.</w:t>
      </w:r>
    </w:p>
    <w:p w:rsidR="000330E5" w:rsidRDefault="000330E5" w:rsidP="00A26218">
      <w:pPr>
        <w:autoSpaceDE w:val="0"/>
        <w:autoSpaceDN w:val="0"/>
        <w:adjustRightInd w:val="0"/>
        <w:spacing w:before="120" w:line="384" w:lineRule="auto"/>
        <w:ind w:firstLine="1418"/>
        <w:jc w:val="both"/>
        <w:rPr>
          <w:rFonts w:ascii="Arial" w:hAnsi="Arial" w:cs="Arial"/>
          <w:bCs/>
          <w:sz w:val="20"/>
          <w:szCs w:val="20"/>
        </w:rPr>
      </w:pPr>
      <w:r w:rsidRPr="00160D28">
        <w:rPr>
          <w:rFonts w:ascii="Arial" w:hAnsi="Arial" w:cs="Arial"/>
          <w:bCs/>
          <w:sz w:val="20"/>
          <w:szCs w:val="20"/>
        </w:rPr>
        <w:t xml:space="preserve">Esses temores são exagerados e há elementos de autocorreção nesse processo. A baixa inflação global, especialmente vinda das commodities, aumenta a renda disponível das famílias nos países desenvolvidos e, com isso, o consumo não cai tanto quanto se teme. A economia </w:t>
      </w:r>
      <w:r w:rsidR="002C74F5">
        <w:rPr>
          <w:rFonts w:ascii="Arial" w:hAnsi="Arial" w:cs="Arial"/>
          <w:bCs/>
          <w:sz w:val="20"/>
          <w:szCs w:val="20"/>
        </w:rPr>
        <w:t>a</w:t>
      </w:r>
      <w:r w:rsidRPr="00160D28">
        <w:rPr>
          <w:rFonts w:ascii="Arial" w:hAnsi="Arial" w:cs="Arial"/>
          <w:bCs/>
          <w:sz w:val="20"/>
          <w:szCs w:val="20"/>
        </w:rPr>
        <w:t>mericana é relativamente fechada e, portanto dependente muito mais da sua dinâmica interna</w:t>
      </w:r>
      <w:r w:rsidR="007B7904">
        <w:rPr>
          <w:rFonts w:ascii="Arial" w:hAnsi="Arial" w:cs="Arial"/>
          <w:bCs/>
          <w:sz w:val="20"/>
          <w:szCs w:val="20"/>
        </w:rPr>
        <w:t xml:space="preserve"> </w:t>
      </w:r>
      <w:r w:rsidRPr="00160D28">
        <w:rPr>
          <w:rFonts w:ascii="Arial" w:hAnsi="Arial" w:cs="Arial"/>
          <w:bCs/>
          <w:sz w:val="20"/>
          <w:szCs w:val="20"/>
        </w:rPr>
        <w:t xml:space="preserve">para produzir as menores taxas de desemprego em uma década do que </w:t>
      </w:r>
      <w:r w:rsidR="002C74F5">
        <w:rPr>
          <w:rFonts w:ascii="Arial" w:hAnsi="Arial" w:cs="Arial"/>
          <w:bCs/>
          <w:sz w:val="20"/>
          <w:szCs w:val="20"/>
        </w:rPr>
        <w:t xml:space="preserve">a </w:t>
      </w:r>
      <w:r w:rsidRPr="00160D28">
        <w:rPr>
          <w:rFonts w:ascii="Arial" w:hAnsi="Arial" w:cs="Arial"/>
          <w:bCs/>
          <w:sz w:val="20"/>
          <w:szCs w:val="20"/>
        </w:rPr>
        <w:t xml:space="preserve">do crescimento global. A própria queda das taxas de juros longas no mundo induz a uma melhora no setor imobiliário, particularmente nos EUA. Apesar disso há </w:t>
      </w:r>
      <w:r w:rsidR="007B7904" w:rsidRPr="00160D28">
        <w:rPr>
          <w:rFonts w:ascii="Arial" w:hAnsi="Arial" w:cs="Arial"/>
          <w:bCs/>
          <w:sz w:val="20"/>
          <w:szCs w:val="20"/>
        </w:rPr>
        <w:t>frustração</w:t>
      </w:r>
      <w:r w:rsidRPr="00160D28">
        <w:rPr>
          <w:rFonts w:ascii="Arial" w:hAnsi="Arial" w:cs="Arial"/>
          <w:bCs/>
          <w:sz w:val="20"/>
          <w:szCs w:val="20"/>
        </w:rPr>
        <w:t xml:space="preserve"> no crescimento europeu, japonês e </w:t>
      </w:r>
      <w:r w:rsidR="002C74F5">
        <w:rPr>
          <w:rFonts w:ascii="Arial" w:hAnsi="Arial" w:cs="Arial"/>
          <w:bCs/>
          <w:sz w:val="20"/>
          <w:szCs w:val="20"/>
        </w:rPr>
        <w:t>c</w:t>
      </w:r>
      <w:r w:rsidRPr="00160D28">
        <w:rPr>
          <w:rFonts w:ascii="Arial" w:hAnsi="Arial" w:cs="Arial"/>
          <w:bCs/>
          <w:sz w:val="20"/>
          <w:szCs w:val="20"/>
        </w:rPr>
        <w:t>hinês e que isso tem contribuído para manter efetivamente baixa a inflação global.</w:t>
      </w:r>
    </w:p>
    <w:p w:rsidR="000330E5" w:rsidRDefault="000330E5" w:rsidP="00A26218">
      <w:pPr>
        <w:autoSpaceDE w:val="0"/>
        <w:autoSpaceDN w:val="0"/>
        <w:adjustRightInd w:val="0"/>
        <w:spacing w:before="120" w:line="384" w:lineRule="auto"/>
        <w:ind w:firstLine="1418"/>
        <w:jc w:val="both"/>
        <w:rPr>
          <w:rFonts w:ascii="Arial" w:hAnsi="Arial" w:cs="Arial"/>
          <w:bCs/>
          <w:sz w:val="20"/>
          <w:szCs w:val="20"/>
        </w:rPr>
      </w:pPr>
      <w:r w:rsidRPr="002C74F5">
        <w:rPr>
          <w:rFonts w:ascii="Arial" w:hAnsi="Arial" w:cs="Arial"/>
          <w:b/>
          <w:bCs/>
          <w:sz w:val="20"/>
          <w:szCs w:val="20"/>
          <w:u w:val="single"/>
        </w:rPr>
        <w:t>EUA</w:t>
      </w:r>
      <w:r w:rsidRPr="00D73A95">
        <w:rPr>
          <w:rFonts w:ascii="Arial" w:hAnsi="Arial" w:cs="Arial"/>
          <w:b/>
          <w:bCs/>
          <w:sz w:val="20"/>
          <w:szCs w:val="20"/>
        </w:rPr>
        <w:t>:</w:t>
      </w:r>
      <w:r w:rsidRPr="00160D28">
        <w:rPr>
          <w:rFonts w:ascii="Arial" w:hAnsi="Arial" w:cs="Arial"/>
          <w:bCs/>
          <w:sz w:val="20"/>
          <w:szCs w:val="20"/>
        </w:rPr>
        <w:t>O crescimento do PIB nos EUA</w:t>
      </w:r>
      <w:r>
        <w:rPr>
          <w:rFonts w:ascii="Arial" w:hAnsi="Arial" w:cs="Arial"/>
          <w:bCs/>
          <w:sz w:val="20"/>
          <w:szCs w:val="20"/>
        </w:rPr>
        <w:t xml:space="preserve"> para 2015</w:t>
      </w:r>
      <w:r w:rsidRPr="00160D28">
        <w:rPr>
          <w:rFonts w:ascii="Arial" w:hAnsi="Arial" w:cs="Arial"/>
          <w:bCs/>
          <w:sz w:val="20"/>
          <w:szCs w:val="20"/>
        </w:rPr>
        <w:t xml:space="preserve"> deve recuar de 3,9</w:t>
      </w:r>
      <w:r w:rsidR="002C74F5">
        <w:rPr>
          <w:rFonts w:ascii="Arial" w:hAnsi="Arial" w:cs="Arial"/>
          <w:bCs/>
          <w:sz w:val="20"/>
          <w:szCs w:val="20"/>
        </w:rPr>
        <w:t>%</w:t>
      </w:r>
      <w:r w:rsidRPr="00160D28">
        <w:rPr>
          <w:rFonts w:ascii="Arial" w:hAnsi="Arial" w:cs="Arial"/>
          <w:bCs/>
          <w:sz w:val="20"/>
          <w:szCs w:val="20"/>
        </w:rPr>
        <w:t xml:space="preserve"> no 3º. Trimestre para 2,3</w:t>
      </w:r>
      <w:r w:rsidR="002C74F5">
        <w:rPr>
          <w:rFonts w:ascii="Arial" w:hAnsi="Arial" w:cs="Arial"/>
          <w:bCs/>
          <w:sz w:val="20"/>
          <w:szCs w:val="20"/>
        </w:rPr>
        <w:t>%</w:t>
      </w:r>
      <w:r w:rsidRPr="00160D28">
        <w:rPr>
          <w:rFonts w:ascii="Arial" w:hAnsi="Arial" w:cs="Arial"/>
          <w:bCs/>
          <w:sz w:val="20"/>
          <w:szCs w:val="20"/>
        </w:rPr>
        <w:t xml:space="preserve"> no 4º. Trimestre, devido basicamente </w:t>
      </w:r>
      <w:r w:rsidR="002C74F5">
        <w:rPr>
          <w:rFonts w:ascii="Arial" w:hAnsi="Arial" w:cs="Arial"/>
          <w:bCs/>
          <w:sz w:val="20"/>
          <w:szCs w:val="20"/>
        </w:rPr>
        <w:t>à</w:t>
      </w:r>
      <w:r w:rsidRPr="00160D28">
        <w:rPr>
          <w:rFonts w:ascii="Arial" w:hAnsi="Arial" w:cs="Arial"/>
          <w:bCs/>
          <w:sz w:val="20"/>
          <w:szCs w:val="20"/>
        </w:rPr>
        <w:t xml:space="preserve"> desaceleração de investimentos privados e estoques, com expansão maior do consumo.</w:t>
      </w:r>
      <w:r>
        <w:rPr>
          <w:rFonts w:ascii="Arial" w:hAnsi="Arial" w:cs="Arial"/>
          <w:bCs/>
          <w:sz w:val="20"/>
          <w:szCs w:val="20"/>
        </w:rPr>
        <w:t xml:space="preserve"> Mesmo assim, os fundamentos da demanda privada final continuam indicando crescimento sólido em 2015.</w:t>
      </w:r>
    </w:p>
    <w:p w:rsidR="000330E5" w:rsidRDefault="000330E5" w:rsidP="00A26218">
      <w:pPr>
        <w:autoSpaceDE w:val="0"/>
        <w:autoSpaceDN w:val="0"/>
        <w:adjustRightInd w:val="0"/>
        <w:spacing w:before="120" w:line="384" w:lineRule="auto"/>
        <w:ind w:firstLine="1418"/>
        <w:jc w:val="both"/>
        <w:rPr>
          <w:rFonts w:ascii="Arial" w:hAnsi="Arial" w:cs="Arial"/>
          <w:bCs/>
          <w:sz w:val="20"/>
          <w:szCs w:val="20"/>
        </w:rPr>
      </w:pPr>
      <w:r>
        <w:rPr>
          <w:rFonts w:ascii="Arial" w:hAnsi="Arial" w:cs="Arial"/>
          <w:bCs/>
          <w:sz w:val="20"/>
          <w:szCs w:val="20"/>
        </w:rPr>
        <w:t>A desinflação causada pela queda dos preços de petróleo não deve alterar projeção de alta de juros a partir de junho de 2015, posto que esse efeito impulsiona para cima a de</w:t>
      </w:r>
      <w:r>
        <w:rPr>
          <w:rFonts w:ascii="Arial" w:hAnsi="Arial" w:cs="Arial"/>
          <w:bCs/>
          <w:sz w:val="20"/>
          <w:szCs w:val="20"/>
        </w:rPr>
        <w:lastRenderedPageBreak/>
        <w:t>manda privada final, acelera o ajuste no mercado de trabalho e potencialmente eleva o núcleo de inflação</w:t>
      </w:r>
      <w:r w:rsidRPr="000C0029">
        <w:rPr>
          <w:rFonts w:ascii="Arial" w:hAnsi="Arial" w:cs="Arial"/>
          <w:bCs/>
          <w:sz w:val="20"/>
          <w:szCs w:val="20"/>
        </w:rPr>
        <w:t xml:space="preserve">. </w:t>
      </w:r>
    </w:p>
    <w:p w:rsidR="000330E5" w:rsidRPr="000C0029" w:rsidRDefault="000330E5" w:rsidP="00A26218">
      <w:pPr>
        <w:autoSpaceDE w:val="0"/>
        <w:autoSpaceDN w:val="0"/>
        <w:adjustRightInd w:val="0"/>
        <w:spacing w:before="120" w:line="384" w:lineRule="auto"/>
        <w:ind w:firstLine="1418"/>
        <w:jc w:val="both"/>
        <w:rPr>
          <w:rFonts w:ascii="Arial" w:hAnsi="Arial" w:cs="Arial"/>
          <w:bCs/>
          <w:sz w:val="20"/>
          <w:szCs w:val="20"/>
        </w:rPr>
      </w:pPr>
      <w:r w:rsidRPr="00D73A95">
        <w:rPr>
          <w:rFonts w:ascii="Arial" w:hAnsi="Arial" w:cs="Arial"/>
          <w:b/>
          <w:bCs/>
          <w:sz w:val="20"/>
          <w:szCs w:val="20"/>
          <w:u w:val="single"/>
        </w:rPr>
        <w:t>CHINA</w:t>
      </w:r>
      <w:r w:rsidRPr="00D73A95">
        <w:rPr>
          <w:rFonts w:ascii="Arial" w:hAnsi="Arial" w:cs="Arial"/>
          <w:b/>
          <w:bCs/>
          <w:sz w:val="20"/>
          <w:szCs w:val="20"/>
        </w:rPr>
        <w:t>:</w:t>
      </w:r>
      <w:r w:rsidR="00F37816">
        <w:rPr>
          <w:rFonts w:ascii="Arial" w:hAnsi="Arial" w:cs="Arial"/>
          <w:bCs/>
          <w:sz w:val="20"/>
          <w:szCs w:val="20"/>
        </w:rPr>
        <w:t>Na C</w:t>
      </w:r>
      <w:r>
        <w:rPr>
          <w:rFonts w:ascii="Arial" w:hAnsi="Arial" w:cs="Arial"/>
          <w:bCs/>
          <w:sz w:val="20"/>
          <w:szCs w:val="20"/>
        </w:rPr>
        <w:t>hina, continua</w:t>
      </w:r>
      <w:r w:rsidR="00F37816">
        <w:rPr>
          <w:rFonts w:ascii="Arial" w:hAnsi="Arial" w:cs="Arial"/>
          <w:bCs/>
          <w:sz w:val="20"/>
          <w:szCs w:val="20"/>
        </w:rPr>
        <w:t>rá</w:t>
      </w:r>
      <w:r>
        <w:rPr>
          <w:rFonts w:ascii="Arial" w:hAnsi="Arial" w:cs="Arial"/>
          <w:bCs/>
          <w:sz w:val="20"/>
          <w:szCs w:val="20"/>
        </w:rPr>
        <w:t xml:space="preserve"> a desaceleração gradual por fatores estruturais (mudança demográfica, deslocamento da indústria para serviços) e cíclicos (créditos, investimentos e </w:t>
      </w:r>
      <w:r w:rsidR="00F37816">
        <w:rPr>
          <w:rFonts w:ascii="Arial" w:hAnsi="Arial" w:cs="Arial"/>
          <w:bCs/>
          <w:sz w:val="20"/>
          <w:szCs w:val="20"/>
        </w:rPr>
        <w:t>imóveis), q</w:t>
      </w:r>
      <w:r>
        <w:rPr>
          <w:rFonts w:ascii="Arial" w:hAnsi="Arial" w:cs="Arial"/>
          <w:bCs/>
          <w:sz w:val="20"/>
          <w:szCs w:val="20"/>
        </w:rPr>
        <w:t>ueda de inflação e moderação do crescimento global o que ger</w:t>
      </w:r>
      <w:r w:rsidR="00F37816">
        <w:rPr>
          <w:rFonts w:ascii="Arial" w:hAnsi="Arial" w:cs="Arial"/>
          <w:bCs/>
          <w:sz w:val="20"/>
          <w:szCs w:val="20"/>
        </w:rPr>
        <w:t>ará</w:t>
      </w:r>
      <w:r>
        <w:rPr>
          <w:rFonts w:ascii="Arial" w:hAnsi="Arial" w:cs="Arial"/>
          <w:bCs/>
          <w:sz w:val="20"/>
          <w:szCs w:val="20"/>
        </w:rPr>
        <w:t xml:space="preserve"> um ciclo de redução de juros.</w:t>
      </w:r>
    </w:p>
    <w:p w:rsidR="000330E5" w:rsidRPr="000C0029" w:rsidRDefault="000330E5" w:rsidP="00A26218">
      <w:pPr>
        <w:autoSpaceDE w:val="0"/>
        <w:autoSpaceDN w:val="0"/>
        <w:adjustRightInd w:val="0"/>
        <w:spacing w:before="120" w:line="384" w:lineRule="auto"/>
        <w:ind w:firstLine="1418"/>
        <w:jc w:val="both"/>
        <w:rPr>
          <w:rFonts w:ascii="Arial" w:hAnsi="Arial" w:cs="Arial"/>
          <w:bCs/>
          <w:sz w:val="20"/>
          <w:szCs w:val="20"/>
        </w:rPr>
      </w:pPr>
      <w:r w:rsidRPr="00CF3A2E">
        <w:rPr>
          <w:rFonts w:ascii="Arial" w:hAnsi="Arial" w:cs="Arial"/>
          <w:b/>
          <w:bCs/>
          <w:sz w:val="20"/>
          <w:szCs w:val="20"/>
          <w:u w:val="single"/>
        </w:rPr>
        <w:t>ZONA do EURO</w:t>
      </w:r>
      <w:r w:rsidRPr="00CF3A2E">
        <w:rPr>
          <w:rFonts w:ascii="Arial" w:hAnsi="Arial" w:cs="Arial"/>
          <w:b/>
          <w:bCs/>
          <w:sz w:val="20"/>
          <w:szCs w:val="20"/>
        </w:rPr>
        <w:t>:</w:t>
      </w:r>
      <w:r>
        <w:rPr>
          <w:rFonts w:ascii="Arial" w:hAnsi="Arial" w:cs="Arial"/>
          <w:bCs/>
          <w:sz w:val="20"/>
          <w:szCs w:val="20"/>
        </w:rPr>
        <w:t>A queda do petróleo tem pouquíssimo impacto no crescimento da região, mas empurra a inflação perigosamente para o terreno negativo. Uma ação mais forte do Banco Central Europeu - BCE com um programa de compras de dívida soberana deve começar em janeiro de 2015.</w:t>
      </w:r>
    </w:p>
    <w:p w:rsidR="000330E5" w:rsidRPr="000B20AA" w:rsidRDefault="000330E5" w:rsidP="00A26218">
      <w:pPr>
        <w:autoSpaceDE w:val="0"/>
        <w:autoSpaceDN w:val="0"/>
        <w:adjustRightInd w:val="0"/>
        <w:spacing w:before="120" w:line="384" w:lineRule="auto"/>
        <w:ind w:firstLine="1418"/>
        <w:jc w:val="both"/>
        <w:rPr>
          <w:rFonts w:ascii="Arial" w:hAnsi="Arial" w:cs="Arial"/>
          <w:b/>
          <w:bCs/>
          <w:sz w:val="20"/>
          <w:szCs w:val="20"/>
          <w:u w:val="single"/>
        </w:rPr>
      </w:pPr>
      <w:r w:rsidRPr="0021218F">
        <w:rPr>
          <w:rFonts w:ascii="Arial" w:hAnsi="Arial" w:cs="Arial"/>
          <w:b/>
          <w:bCs/>
          <w:sz w:val="20"/>
          <w:szCs w:val="20"/>
          <w:u w:val="single"/>
        </w:rPr>
        <w:t>BRASI</w:t>
      </w:r>
      <w:r>
        <w:rPr>
          <w:rFonts w:ascii="Arial" w:hAnsi="Arial" w:cs="Arial"/>
          <w:b/>
          <w:bCs/>
          <w:sz w:val="20"/>
          <w:szCs w:val="20"/>
          <w:u w:val="single"/>
        </w:rPr>
        <w:t xml:space="preserve">L: </w:t>
      </w:r>
      <w:r w:rsidRPr="0021218F">
        <w:rPr>
          <w:rFonts w:ascii="Arial" w:hAnsi="Arial" w:cs="Arial"/>
          <w:sz w:val="20"/>
          <w:szCs w:val="20"/>
        </w:rPr>
        <w:t xml:space="preserve">Vários desafios no cenário de 2015, após terminarmos o ano de 2014 com crescimento zero (projeção)e </w:t>
      </w:r>
      <w:r>
        <w:rPr>
          <w:rFonts w:ascii="Arial" w:hAnsi="Arial" w:cs="Arial"/>
          <w:sz w:val="20"/>
          <w:szCs w:val="20"/>
        </w:rPr>
        <w:t>inflação ainda alta (6,4%).</w:t>
      </w:r>
      <w:r w:rsidRPr="0021218F">
        <w:rPr>
          <w:rFonts w:ascii="Arial" w:hAnsi="Arial" w:cs="Arial"/>
          <w:sz w:val="20"/>
          <w:szCs w:val="20"/>
        </w:rPr>
        <w:t xml:space="preserve"> Os fatores negativos são a forte queda de confiança de empresários e</w:t>
      </w:r>
      <w:r w:rsidR="00895FF5">
        <w:rPr>
          <w:rFonts w:ascii="Arial" w:hAnsi="Arial" w:cs="Arial"/>
          <w:sz w:val="20"/>
          <w:szCs w:val="20"/>
        </w:rPr>
        <w:t xml:space="preserve"> </w:t>
      </w:r>
      <w:r w:rsidRPr="0021218F">
        <w:rPr>
          <w:rFonts w:ascii="Arial" w:hAnsi="Arial" w:cs="Arial"/>
          <w:sz w:val="20"/>
          <w:szCs w:val="20"/>
        </w:rPr>
        <w:t>consumidores, problemas com infraestrutura, piora do resultado fiscal e queda de produtividade.</w:t>
      </w:r>
    </w:p>
    <w:p w:rsidR="000330E5" w:rsidRDefault="000330E5" w:rsidP="00A26218">
      <w:pPr>
        <w:spacing w:line="384"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21218F">
        <w:rPr>
          <w:rFonts w:ascii="Arial" w:hAnsi="Arial" w:cs="Arial"/>
          <w:sz w:val="20"/>
          <w:szCs w:val="20"/>
        </w:rPr>
        <w:t>Em 2015 deverão ser promovidas algumas políticas de ajuste, como descompressão das tarifas</w:t>
      </w:r>
      <w:r w:rsidR="00895FF5">
        <w:rPr>
          <w:rFonts w:ascii="Arial" w:hAnsi="Arial" w:cs="Arial"/>
          <w:sz w:val="20"/>
          <w:szCs w:val="20"/>
        </w:rPr>
        <w:t xml:space="preserve"> </w:t>
      </w:r>
      <w:r w:rsidRPr="0021218F">
        <w:rPr>
          <w:rFonts w:ascii="Arial" w:hAnsi="Arial" w:cs="Arial"/>
          <w:sz w:val="20"/>
          <w:szCs w:val="20"/>
        </w:rPr>
        <w:t>públicas e aperto fiscal, que trarão custos para o crescimento, através da redução nos gastos do</w:t>
      </w:r>
      <w:r w:rsidR="00895FF5">
        <w:rPr>
          <w:rFonts w:ascii="Arial" w:hAnsi="Arial" w:cs="Arial"/>
          <w:sz w:val="20"/>
          <w:szCs w:val="20"/>
        </w:rPr>
        <w:t xml:space="preserve"> </w:t>
      </w:r>
      <w:r w:rsidRPr="0021218F">
        <w:rPr>
          <w:rFonts w:ascii="Arial" w:hAnsi="Arial" w:cs="Arial"/>
          <w:sz w:val="20"/>
          <w:szCs w:val="20"/>
        </w:rPr>
        <w:t>governo e do aumento na inflação, que exigirá a continuidade no ciclo de alta de juros.  O resultado é a</w:t>
      </w:r>
      <w:r w:rsidR="00895FF5">
        <w:rPr>
          <w:rFonts w:ascii="Arial" w:hAnsi="Arial" w:cs="Arial"/>
          <w:sz w:val="20"/>
          <w:szCs w:val="20"/>
        </w:rPr>
        <w:t xml:space="preserve"> </w:t>
      </w:r>
      <w:r w:rsidRPr="0021218F">
        <w:rPr>
          <w:rFonts w:ascii="Arial" w:hAnsi="Arial" w:cs="Arial"/>
          <w:sz w:val="20"/>
          <w:szCs w:val="20"/>
        </w:rPr>
        <w:t>expectativa de um crescimento zero novamente em 2015, com inflação ainda próxima do teto da metade 6,5%.</w:t>
      </w:r>
    </w:p>
    <w:p w:rsidR="000330E5" w:rsidRDefault="000330E5" w:rsidP="00A26218">
      <w:pPr>
        <w:spacing w:line="384"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21218F">
        <w:rPr>
          <w:rFonts w:ascii="Arial" w:hAnsi="Arial" w:cs="Arial"/>
          <w:sz w:val="20"/>
          <w:szCs w:val="20"/>
        </w:rPr>
        <w:t>O ajuste de 2015, se bem executado, poderá permitir uma melhora macro em 2016, mas os custos</w:t>
      </w:r>
      <w:r w:rsidR="00895FF5">
        <w:rPr>
          <w:rFonts w:ascii="Arial" w:hAnsi="Arial" w:cs="Arial"/>
          <w:sz w:val="20"/>
          <w:szCs w:val="20"/>
        </w:rPr>
        <w:t xml:space="preserve"> </w:t>
      </w:r>
      <w:r w:rsidRPr="0021218F">
        <w:rPr>
          <w:rFonts w:ascii="Arial" w:hAnsi="Arial" w:cs="Arial"/>
          <w:sz w:val="20"/>
          <w:szCs w:val="20"/>
        </w:rPr>
        <w:t>chega</w:t>
      </w:r>
      <w:r>
        <w:rPr>
          <w:rFonts w:ascii="Arial" w:hAnsi="Arial" w:cs="Arial"/>
          <w:sz w:val="20"/>
          <w:szCs w:val="20"/>
        </w:rPr>
        <w:t>rão antes dos benefícios.  O</w:t>
      </w:r>
      <w:r w:rsidRPr="0021218F">
        <w:rPr>
          <w:rFonts w:ascii="Arial" w:hAnsi="Arial" w:cs="Arial"/>
          <w:sz w:val="20"/>
          <w:szCs w:val="20"/>
        </w:rPr>
        <w:t xml:space="preserve"> novo ministro da Fazenda anunciou uma meta de 1,2% do PIB para</w:t>
      </w:r>
      <w:r w:rsidR="00895FF5">
        <w:rPr>
          <w:rFonts w:ascii="Arial" w:hAnsi="Arial" w:cs="Arial"/>
          <w:sz w:val="20"/>
          <w:szCs w:val="20"/>
        </w:rPr>
        <w:t xml:space="preserve"> </w:t>
      </w:r>
      <w:r w:rsidRPr="0021218F">
        <w:rPr>
          <w:rFonts w:ascii="Arial" w:hAnsi="Arial" w:cs="Arial"/>
          <w:sz w:val="20"/>
          <w:szCs w:val="20"/>
        </w:rPr>
        <w:t>o superávit primário no ano que vem, seguido por resultados não menores que 2% nos dois anos</w:t>
      </w:r>
      <w:r w:rsidR="00895FF5">
        <w:rPr>
          <w:rFonts w:ascii="Arial" w:hAnsi="Arial" w:cs="Arial"/>
          <w:sz w:val="20"/>
          <w:szCs w:val="20"/>
        </w:rPr>
        <w:t xml:space="preserve"> </w:t>
      </w:r>
      <w:r w:rsidRPr="0021218F">
        <w:rPr>
          <w:rFonts w:ascii="Arial" w:hAnsi="Arial" w:cs="Arial"/>
          <w:sz w:val="20"/>
          <w:szCs w:val="20"/>
        </w:rPr>
        <w:t>seguintes.</w:t>
      </w:r>
    </w:p>
    <w:p w:rsidR="000330E5" w:rsidRPr="0021218F" w:rsidRDefault="000330E5" w:rsidP="00A26218">
      <w:pPr>
        <w:spacing w:line="384" w:lineRule="auto"/>
        <w:ind w:firstLine="1418"/>
        <w:jc w:val="both"/>
        <w:rPr>
          <w:rFonts w:ascii="Arial" w:hAnsi="Arial" w:cs="Arial"/>
          <w:sz w:val="20"/>
          <w:szCs w:val="20"/>
        </w:rPr>
      </w:pPr>
      <w:r w:rsidRPr="0021218F">
        <w:rPr>
          <w:rFonts w:ascii="Arial" w:hAnsi="Arial" w:cs="Arial"/>
          <w:sz w:val="20"/>
          <w:szCs w:val="20"/>
        </w:rPr>
        <w:t xml:space="preserve"> A alta da inflação dos preços administrados, mesmo acompanhada de desaceleração na inflação de</w:t>
      </w:r>
      <w:r w:rsidR="00895FF5">
        <w:rPr>
          <w:rFonts w:ascii="Arial" w:hAnsi="Arial" w:cs="Arial"/>
          <w:sz w:val="20"/>
          <w:szCs w:val="20"/>
        </w:rPr>
        <w:t xml:space="preserve"> </w:t>
      </w:r>
      <w:r w:rsidRPr="0021218F">
        <w:rPr>
          <w:rFonts w:ascii="Arial" w:hAnsi="Arial" w:cs="Arial"/>
          <w:sz w:val="20"/>
          <w:szCs w:val="20"/>
        </w:rPr>
        <w:t xml:space="preserve">preços livres, mantém o IPCA próximo ao </w:t>
      </w:r>
      <w:r>
        <w:rPr>
          <w:rFonts w:ascii="Arial" w:hAnsi="Arial" w:cs="Arial"/>
          <w:sz w:val="20"/>
          <w:szCs w:val="20"/>
        </w:rPr>
        <w:t xml:space="preserve">teto da meta.  Diante disso, </w:t>
      </w:r>
      <w:r w:rsidRPr="0021218F">
        <w:rPr>
          <w:rFonts w:ascii="Arial" w:hAnsi="Arial" w:cs="Arial"/>
          <w:sz w:val="20"/>
          <w:szCs w:val="20"/>
        </w:rPr>
        <w:t>o Banco Central deve continuar a</w:t>
      </w:r>
      <w:r w:rsidR="00895FF5">
        <w:rPr>
          <w:rFonts w:ascii="Arial" w:hAnsi="Arial" w:cs="Arial"/>
          <w:sz w:val="20"/>
          <w:szCs w:val="20"/>
        </w:rPr>
        <w:t xml:space="preserve"> </w:t>
      </w:r>
      <w:r w:rsidRPr="0021218F">
        <w:rPr>
          <w:rFonts w:ascii="Arial" w:hAnsi="Arial" w:cs="Arial"/>
          <w:sz w:val="20"/>
          <w:szCs w:val="20"/>
        </w:rPr>
        <w:t>elevação da taxa Selic, com mais duas altas em 2015, de 0</w:t>
      </w:r>
      <w:r>
        <w:rPr>
          <w:rFonts w:ascii="Arial" w:hAnsi="Arial" w:cs="Arial"/>
          <w:sz w:val="20"/>
          <w:szCs w:val="20"/>
        </w:rPr>
        <w:t>,</w:t>
      </w:r>
      <w:r w:rsidRPr="0021218F">
        <w:rPr>
          <w:rFonts w:ascii="Arial" w:hAnsi="Arial" w:cs="Arial"/>
          <w:sz w:val="20"/>
          <w:szCs w:val="20"/>
        </w:rPr>
        <w:t>50 e 0</w:t>
      </w:r>
      <w:r>
        <w:rPr>
          <w:rFonts w:ascii="Arial" w:hAnsi="Arial" w:cs="Arial"/>
          <w:sz w:val="20"/>
          <w:szCs w:val="20"/>
        </w:rPr>
        <w:t>,25</w:t>
      </w:r>
      <w:r w:rsidRPr="0021218F">
        <w:rPr>
          <w:rFonts w:ascii="Arial" w:hAnsi="Arial" w:cs="Arial"/>
          <w:sz w:val="20"/>
          <w:szCs w:val="20"/>
        </w:rPr>
        <w:t xml:space="preserve"> pontos base </w:t>
      </w:r>
      <w:r w:rsidR="0025380A" w:rsidRPr="0021218F">
        <w:rPr>
          <w:rFonts w:ascii="Arial" w:hAnsi="Arial" w:cs="Arial"/>
          <w:sz w:val="20"/>
          <w:szCs w:val="20"/>
        </w:rPr>
        <w:t xml:space="preserve">respectivamente, </w:t>
      </w:r>
      <w:r w:rsidRPr="0021218F">
        <w:rPr>
          <w:rFonts w:ascii="Arial" w:hAnsi="Arial" w:cs="Arial"/>
          <w:sz w:val="20"/>
          <w:szCs w:val="20"/>
        </w:rPr>
        <w:t xml:space="preserve">elevando a taxa final de 11,75% a.a. </w:t>
      </w:r>
      <w:r>
        <w:rPr>
          <w:rFonts w:ascii="Arial" w:hAnsi="Arial" w:cs="Arial"/>
          <w:sz w:val="20"/>
          <w:szCs w:val="20"/>
        </w:rPr>
        <w:t>agora em</w:t>
      </w:r>
      <w:r w:rsidRPr="0021218F">
        <w:rPr>
          <w:rFonts w:ascii="Arial" w:hAnsi="Arial" w:cs="Arial"/>
          <w:sz w:val="20"/>
          <w:szCs w:val="20"/>
        </w:rPr>
        <w:t xml:space="preserve"> 2014 para 12,5% em 2015.</w:t>
      </w:r>
    </w:p>
    <w:p w:rsidR="000330E5" w:rsidRDefault="000330E5" w:rsidP="00A26218">
      <w:pPr>
        <w:spacing w:line="384" w:lineRule="auto"/>
        <w:ind w:firstLine="1418"/>
        <w:jc w:val="both"/>
        <w:rPr>
          <w:rFonts w:ascii="Arial" w:hAnsi="Arial" w:cs="Arial"/>
          <w:sz w:val="20"/>
          <w:szCs w:val="20"/>
        </w:rPr>
      </w:pPr>
      <w:r w:rsidRPr="0021218F">
        <w:rPr>
          <w:rFonts w:ascii="Arial" w:hAnsi="Arial" w:cs="Arial"/>
          <w:sz w:val="20"/>
          <w:szCs w:val="20"/>
        </w:rPr>
        <w:t>A ênfase da nova política fiscal é na redução da dívida bruta, cujo sucesso permite ao longo do tempo a</w:t>
      </w:r>
      <w:r w:rsidR="00895FF5">
        <w:rPr>
          <w:rFonts w:ascii="Arial" w:hAnsi="Arial" w:cs="Arial"/>
          <w:sz w:val="20"/>
          <w:szCs w:val="20"/>
        </w:rPr>
        <w:t xml:space="preserve"> </w:t>
      </w:r>
      <w:r w:rsidRPr="0021218F">
        <w:rPr>
          <w:rFonts w:ascii="Arial" w:hAnsi="Arial" w:cs="Arial"/>
          <w:sz w:val="20"/>
          <w:szCs w:val="20"/>
        </w:rPr>
        <w:t>redução do serviço da dívida, a expansão de investimentos públicos e redução da carga tributária, hoje</w:t>
      </w:r>
      <w:r w:rsidR="00895FF5">
        <w:rPr>
          <w:rFonts w:ascii="Arial" w:hAnsi="Arial" w:cs="Arial"/>
          <w:sz w:val="20"/>
          <w:szCs w:val="20"/>
        </w:rPr>
        <w:t xml:space="preserve"> </w:t>
      </w:r>
      <w:r w:rsidRPr="0021218F">
        <w:rPr>
          <w:rFonts w:ascii="Arial" w:hAnsi="Arial" w:cs="Arial"/>
          <w:sz w:val="20"/>
          <w:szCs w:val="20"/>
        </w:rPr>
        <w:t xml:space="preserve">em 37% do PIB.  O ajuste fiscal de 2015 pode ser obtido por elevação de receitas e corte de </w:t>
      </w:r>
      <w:r w:rsidR="0025380A" w:rsidRPr="0021218F">
        <w:rPr>
          <w:rFonts w:ascii="Arial" w:hAnsi="Arial" w:cs="Arial"/>
          <w:sz w:val="20"/>
          <w:szCs w:val="20"/>
        </w:rPr>
        <w:t xml:space="preserve">gastos, </w:t>
      </w:r>
      <w:r w:rsidRPr="0021218F">
        <w:rPr>
          <w:rFonts w:ascii="Arial" w:hAnsi="Arial" w:cs="Arial"/>
          <w:sz w:val="20"/>
          <w:szCs w:val="20"/>
        </w:rPr>
        <w:t>mas nos próximos anos serão necessárias reformas (administrativa, dos gastos sociais e tributária).</w:t>
      </w:r>
    </w:p>
    <w:p w:rsidR="000330E5" w:rsidRDefault="000330E5" w:rsidP="00A26218">
      <w:pPr>
        <w:spacing w:line="384" w:lineRule="auto"/>
        <w:ind w:firstLine="1418"/>
        <w:jc w:val="both"/>
        <w:rPr>
          <w:rFonts w:ascii="Arial" w:hAnsi="Arial" w:cs="Arial"/>
          <w:sz w:val="20"/>
          <w:szCs w:val="20"/>
        </w:rPr>
      </w:pPr>
      <w:r w:rsidRPr="0021218F">
        <w:rPr>
          <w:rFonts w:ascii="Arial" w:hAnsi="Arial" w:cs="Arial"/>
          <w:sz w:val="20"/>
          <w:szCs w:val="20"/>
        </w:rPr>
        <w:lastRenderedPageBreak/>
        <w:t xml:space="preserve"> Apesar das medidas de ajuste da nova equipe econômica, a alta de juros dos EUA em 2015 associada</w:t>
      </w:r>
      <w:r w:rsidR="00895FF5">
        <w:rPr>
          <w:rFonts w:ascii="Arial" w:hAnsi="Arial" w:cs="Arial"/>
          <w:sz w:val="20"/>
          <w:szCs w:val="20"/>
        </w:rPr>
        <w:t xml:space="preserve"> </w:t>
      </w:r>
      <w:r w:rsidRPr="0021218F">
        <w:rPr>
          <w:rFonts w:ascii="Arial" w:hAnsi="Arial" w:cs="Arial"/>
          <w:sz w:val="20"/>
          <w:szCs w:val="20"/>
        </w:rPr>
        <w:t>a fundamentos domésticos fragilizados (baixo crescimento e inflação</w:t>
      </w:r>
      <w:r w:rsidR="00895FF5">
        <w:rPr>
          <w:rFonts w:ascii="Arial" w:hAnsi="Arial" w:cs="Arial"/>
          <w:sz w:val="20"/>
          <w:szCs w:val="20"/>
        </w:rPr>
        <w:t xml:space="preserve"> </w:t>
      </w:r>
      <w:r w:rsidRPr="0021218F">
        <w:rPr>
          <w:rFonts w:ascii="Arial" w:hAnsi="Arial" w:cs="Arial"/>
          <w:sz w:val="20"/>
          <w:szCs w:val="20"/>
        </w:rPr>
        <w:t>alta) levará a uma</w:t>
      </w:r>
      <w:r w:rsidR="00895FF5">
        <w:rPr>
          <w:rFonts w:ascii="Arial" w:hAnsi="Arial" w:cs="Arial"/>
          <w:sz w:val="20"/>
          <w:szCs w:val="20"/>
        </w:rPr>
        <w:t xml:space="preserve"> </w:t>
      </w:r>
      <w:r w:rsidRPr="0021218F">
        <w:rPr>
          <w:rFonts w:ascii="Arial" w:hAnsi="Arial" w:cs="Arial"/>
          <w:sz w:val="20"/>
          <w:szCs w:val="20"/>
        </w:rPr>
        <w:t>depreciação cambial adicional da moeda local.</w:t>
      </w:r>
    </w:p>
    <w:p w:rsidR="000330E5" w:rsidRDefault="000330E5" w:rsidP="00A26218">
      <w:pPr>
        <w:spacing w:line="384" w:lineRule="auto"/>
        <w:ind w:firstLine="1560"/>
        <w:jc w:val="both"/>
        <w:rPr>
          <w:rFonts w:ascii="Arial" w:hAnsi="Arial" w:cs="Arial"/>
          <w:sz w:val="20"/>
          <w:szCs w:val="20"/>
        </w:rPr>
      </w:pPr>
      <w:r w:rsidRPr="00C37214">
        <w:rPr>
          <w:rFonts w:ascii="Arial" w:hAnsi="Arial" w:cs="Arial"/>
          <w:sz w:val="20"/>
          <w:szCs w:val="20"/>
        </w:rPr>
        <w:t>Em 2015, a fraqueza dos fundamentos do consumo, como crédito e mercado de trabalho (empregos e</w:t>
      </w:r>
      <w:r w:rsidR="00895FF5">
        <w:rPr>
          <w:rFonts w:ascii="Arial" w:hAnsi="Arial" w:cs="Arial"/>
          <w:sz w:val="20"/>
          <w:szCs w:val="20"/>
        </w:rPr>
        <w:t xml:space="preserve"> </w:t>
      </w:r>
      <w:r w:rsidRPr="00C37214">
        <w:rPr>
          <w:rFonts w:ascii="Arial" w:hAnsi="Arial" w:cs="Arial"/>
          <w:sz w:val="20"/>
          <w:szCs w:val="20"/>
        </w:rPr>
        <w:t>salários), estão por trás da projeção de crescimento zero do PIB em 2015.  Existe um arrasto da</w:t>
      </w:r>
      <w:r w:rsidR="00895FF5">
        <w:rPr>
          <w:rFonts w:ascii="Arial" w:hAnsi="Arial" w:cs="Arial"/>
          <w:sz w:val="20"/>
          <w:szCs w:val="20"/>
        </w:rPr>
        <w:t xml:space="preserve"> </w:t>
      </w:r>
      <w:r w:rsidRPr="00C37214">
        <w:rPr>
          <w:rFonts w:ascii="Arial" w:hAnsi="Arial" w:cs="Arial"/>
          <w:sz w:val="20"/>
          <w:szCs w:val="20"/>
        </w:rPr>
        <w:t>situação ruim de 2014 para 2015 quase inevitável, dado que essas variáveis são defasadas em relação</w:t>
      </w:r>
      <w:r w:rsidR="00895FF5">
        <w:rPr>
          <w:rFonts w:ascii="Arial" w:hAnsi="Arial" w:cs="Arial"/>
          <w:sz w:val="20"/>
          <w:szCs w:val="20"/>
        </w:rPr>
        <w:t xml:space="preserve"> </w:t>
      </w:r>
      <w:r w:rsidRPr="00C37214">
        <w:rPr>
          <w:rFonts w:ascii="Arial" w:hAnsi="Arial" w:cs="Arial"/>
          <w:sz w:val="20"/>
          <w:szCs w:val="20"/>
        </w:rPr>
        <w:t xml:space="preserve">ao ciclo econômico. </w:t>
      </w:r>
    </w:p>
    <w:p w:rsidR="000330E5" w:rsidRDefault="000330E5" w:rsidP="00A26218">
      <w:pPr>
        <w:spacing w:line="384" w:lineRule="auto"/>
        <w:ind w:firstLine="1560"/>
        <w:jc w:val="both"/>
        <w:rPr>
          <w:rFonts w:ascii="Arial" w:hAnsi="Arial" w:cs="Arial"/>
          <w:sz w:val="20"/>
          <w:szCs w:val="20"/>
        </w:rPr>
      </w:pPr>
      <w:r w:rsidRPr="00C37214">
        <w:rPr>
          <w:rFonts w:ascii="Arial" w:hAnsi="Arial" w:cs="Arial"/>
          <w:sz w:val="20"/>
          <w:szCs w:val="20"/>
        </w:rPr>
        <w:t xml:space="preserve">Os índices de confiança devem </w:t>
      </w:r>
      <w:r w:rsidR="00F37816">
        <w:rPr>
          <w:rFonts w:ascii="Arial" w:hAnsi="Arial" w:cs="Arial"/>
          <w:sz w:val="20"/>
          <w:szCs w:val="20"/>
        </w:rPr>
        <w:t>continuar fracos na maior parte</w:t>
      </w:r>
      <w:r w:rsidRPr="00C37214">
        <w:rPr>
          <w:rFonts w:ascii="Arial" w:hAnsi="Arial" w:cs="Arial"/>
          <w:sz w:val="20"/>
          <w:szCs w:val="20"/>
        </w:rPr>
        <w:t xml:space="preserve"> do</w:t>
      </w:r>
      <w:r w:rsidR="00895FF5">
        <w:rPr>
          <w:rFonts w:ascii="Arial" w:hAnsi="Arial" w:cs="Arial"/>
          <w:sz w:val="20"/>
          <w:szCs w:val="20"/>
        </w:rPr>
        <w:t xml:space="preserve"> </w:t>
      </w:r>
      <w:r w:rsidRPr="00C37214">
        <w:rPr>
          <w:rFonts w:ascii="Arial" w:hAnsi="Arial" w:cs="Arial"/>
          <w:sz w:val="20"/>
          <w:szCs w:val="20"/>
        </w:rPr>
        <w:t>ano  qu</w:t>
      </w:r>
      <w:r>
        <w:rPr>
          <w:rFonts w:ascii="Arial" w:hAnsi="Arial" w:cs="Arial"/>
          <w:sz w:val="20"/>
          <w:szCs w:val="20"/>
        </w:rPr>
        <w:t xml:space="preserve">e  vem,  mas  o  novo  rumo  da </w:t>
      </w:r>
      <w:r w:rsidRPr="00C37214">
        <w:rPr>
          <w:rFonts w:ascii="Arial" w:hAnsi="Arial" w:cs="Arial"/>
          <w:sz w:val="20"/>
          <w:szCs w:val="20"/>
        </w:rPr>
        <w:t>política  econômica  pode  trazer  uma  recuperação, com  políticas  econômicas  realinhadas  na  direção  de</w:t>
      </w:r>
      <w:r w:rsidR="00895FF5">
        <w:rPr>
          <w:rFonts w:ascii="Arial" w:hAnsi="Arial" w:cs="Arial"/>
          <w:sz w:val="20"/>
          <w:szCs w:val="20"/>
        </w:rPr>
        <w:t xml:space="preserve"> </w:t>
      </w:r>
      <w:r w:rsidRPr="00C37214">
        <w:rPr>
          <w:rFonts w:ascii="Arial" w:hAnsi="Arial" w:cs="Arial"/>
          <w:sz w:val="20"/>
          <w:szCs w:val="20"/>
        </w:rPr>
        <w:t>maior  flexibilidade  da  moeda,  uma  política  monetária  vigil</w:t>
      </w:r>
      <w:r w:rsidR="00F37816">
        <w:rPr>
          <w:rFonts w:ascii="Arial" w:hAnsi="Arial" w:cs="Arial"/>
          <w:sz w:val="20"/>
          <w:szCs w:val="20"/>
        </w:rPr>
        <w:t>ante  e  ajuste  fiscal.  Ainda assim,</w:t>
      </w:r>
      <w:r w:rsidRPr="00C37214">
        <w:rPr>
          <w:rFonts w:ascii="Arial" w:hAnsi="Arial" w:cs="Arial"/>
          <w:sz w:val="20"/>
          <w:szCs w:val="20"/>
        </w:rPr>
        <w:t xml:space="preserve"> os</w:t>
      </w:r>
      <w:r w:rsidR="00895FF5">
        <w:rPr>
          <w:rFonts w:ascii="Arial" w:hAnsi="Arial" w:cs="Arial"/>
          <w:sz w:val="20"/>
          <w:szCs w:val="20"/>
        </w:rPr>
        <w:t xml:space="preserve"> </w:t>
      </w:r>
      <w:r w:rsidR="00F37816">
        <w:rPr>
          <w:rFonts w:ascii="Arial" w:hAnsi="Arial" w:cs="Arial"/>
          <w:sz w:val="20"/>
          <w:szCs w:val="20"/>
        </w:rPr>
        <w:t>expressivos ajustes</w:t>
      </w:r>
      <w:r w:rsidRPr="00C37214">
        <w:rPr>
          <w:rFonts w:ascii="Arial" w:hAnsi="Arial" w:cs="Arial"/>
          <w:sz w:val="20"/>
          <w:szCs w:val="20"/>
        </w:rPr>
        <w:t xml:space="preserve"> necessários</w:t>
      </w:r>
      <w:r w:rsidR="00895FF5">
        <w:rPr>
          <w:rFonts w:ascii="Arial" w:hAnsi="Arial" w:cs="Arial"/>
          <w:sz w:val="20"/>
          <w:szCs w:val="20"/>
        </w:rPr>
        <w:t xml:space="preserve"> </w:t>
      </w:r>
      <w:r w:rsidRPr="00C37214">
        <w:rPr>
          <w:rFonts w:ascii="Arial" w:hAnsi="Arial" w:cs="Arial"/>
          <w:sz w:val="20"/>
          <w:szCs w:val="20"/>
        </w:rPr>
        <w:t>para  solucionar  nossos  desequilíbrios  macroeconômicos  irão  impor</w:t>
      </w:r>
      <w:r w:rsidR="00895FF5">
        <w:rPr>
          <w:rFonts w:ascii="Arial" w:hAnsi="Arial" w:cs="Arial"/>
          <w:sz w:val="20"/>
          <w:szCs w:val="20"/>
        </w:rPr>
        <w:t xml:space="preserve"> </w:t>
      </w:r>
      <w:r w:rsidRPr="00C37214">
        <w:rPr>
          <w:rFonts w:ascii="Arial" w:hAnsi="Arial" w:cs="Arial"/>
          <w:sz w:val="20"/>
          <w:szCs w:val="20"/>
        </w:rPr>
        <w:t>custos  para o crescimento  do país, que deverá ficar estagnado também em 2015.</w:t>
      </w:r>
    </w:p>
    <w:p w:rsidR="00207DF3" w:rsidRDefault="000330E5" w:rsidP="00A26218">
      <w:pPr>
        <w:spacing w:line="384" w:lineRule="auto"/>
        <w:ind w:firstLine="1560"/>
        <w:jc w:val="both"/>
        <w:rPr>
          <w:rFonts w:ascii="Arial" w:hAnsi="Arial" w:cs="Arial"/>
          <w:sz w:val="20"/>
          <w:szCs w:val="20"/>
        </w:rPr>
      </w:pPr>
      <w:r w:rsidRPr="0025380A">
        <w:rPr>
          <w:rFonts w:ascii="Arial" w:hAnsi="Arial" w:cs="Arial"/>
          <w:b/>
          <w:sz w:val="20"/>
          <w:szCs w:val="20"/>
          <w:u w:val="single"/>
        </w:rPr>
        <w:t>CÂMBIO:</w:t>
      </w:r>
      <w:r w:rsidR="0025380A">
        <w:rPr>
          <w:rFonts w:ascii="Arial" w:hAnsi="Arial" w:cs="Arial"/>
          <w:b/>
          <w:sz w:val="20"/>
          <w:szCs w:val="20"/>
        </w:rPr>
        <w:t xml:space="preserve"> </w:t>
      </w:r>
      <w:r w:rsidRPr="00C37214">
        <w:rPr>
          <w:rFonts w:ascii="Arial" w:hAnsi="Arial" w:cs="Arial"/>
          <w:sz w:val="20"/>
          <w:szCs w:val="20"/>
        </w:rPr>
        <w:t>Somente quando o realinhamento das políticas se consolidar, revertendo o quadro de estagnação</w:t>
      </w:r>
      <w:r w:rsidR="00895FF5">
        <w:rPr>
          <w:rFonts w:ascii="Arial" w:hAnsi="Arial" w:cs="Arial"/>
          <w:sz w:val="20"/>
          <w:szCs w:val="20"/>
        </w:rPr>
        <w:t xml:space="preserve"> </w:t>
      </w:r>
      <w:r w:rsidRPr="00C37214">
        <w:rPr>
          <w:rFonts w:ascii="Arial" w:hAnsi="Arial" w:cs="Arial"/>
          <w:sz w:val="20"/>
          <w:szCs w:val="20"/>
        </w:rPr>
        <w:t xml:space="preserve">econômica e de inflação alta, as perspectivas para o câmbio poderão </w:t>
      </w:r>
      <w:r w:rsidR="00F37816">
        <w:rPr>
          <w:rFonts w:ascii="Arial" w:hAnsi="Arial" w:cs="Arial"/>
          <w:sz w:val="20"/>
          <w:szCs w:val="20"/>
        </w:rPr>
        <w:t>ficar</w:t>
      </w:r>
      <w:r w:rsidRPr="00C37214">
        <w:rPr>
          <w:rFonts w:ascii="Arial" w:hAnsi="Arial" w:cs="Arial"/>
          <w:sz w:val="20"/>
          <w:szCs w:val="20"/>
        </w:rPr>
        <w:t xml:space="preserve"> mais favoráveis.  O ajuste</w:t>
      </w:r>
      <w:r w:rsidR="00895FF5">
        <w:rPr>
          <w:rFonts w:ascii="Arial" w:hAnsi="Arial" w:cs="Arial"/>
          <w:sz w:val="20"/>
          <w:szCs w:val="20"/>
        </w:rPr>
        <w:t xml:space="preserve"> </w:t>
      </w:r>
      <w:r w:rsidRPr="00C37214">
        <w:rPr>
          <w:rFonts w:ascii="Arial" w:hAnsi="Arial" w:cs="Arial"/>
          <w:sz w:val="20"/>
          <w:szCs w:val="20"/>
        </w:rPr>
        <w:t>fiscal de 2015 ainda precisa ser executado num ambiente em que irão predominar crescimento baixo e</w:t>
      </w:r>
      <w:r w:rsidR="00895FF5">
        <w:rPr>
          <w:rFonts w:ascii="Arial" w:hAnsi="Arial" w:cs="Arial"/>
          <w:sz w:val="20"/>
          <w:szCs w:val="20"/>
        </w:rPr>
        <w:t xml:space="preserve"> </w:t>
      </w:r>
      <w:r w:rsidRPr="00C37214">
        <w:rPr>
          <w:rFonts w:ascii="Arial" w:hAnsi="Arial" w:cs="Arial"/>
          <w:sz w:val="20"/>
          <w:szCs w:val="20"/>
        </w:rPr>
        <w:t>inflação alta.  A alta de juros dos EUA e a apreciação do dólar devem ganhar impulso no ano que vem.Nesse sentido, esperamos uma depreciação nomi</w:t>
      </w:r>
      <w:r w:rsidR="00F37816">
        <w:rPr>
          <w:rFonts w:ascii="Arial" w:hAnsi="Arial" w:cs="Arial"/>
          <w:sz w:val="20"/>
          <w:szCs w:val="20"/>
        </w:rPr>
        <w:t>nal do câmbio de R$ 2,55</w:t>
      </w:r>
      <w:r w:rsidRPr="00C37214">
        <w:rPr>
          <w:rFonts w:ascii="Arial" w:hAnsi="Arial" w:cs="Arial"/>
          <w:sz w:val="20"/>
          <w:szCs w:val="20"/>
        </w:rPr>
        <w:t xml:space="preserve"> (2014) para </w:t>
      </w:r>
      <w:r w:rsidR="00F37816">
        <w:rPr>
          <w:rFonts w:ascii="Arial" w:hAnsi="Arial" w:cs="Arial"/>
          <w:sz w:val="20"/>
          <w:szCs w:val="20"/>
        </w:rPr>
        <w:t xml:space="preserve">R$ </w:t>
      </w:r>
      <w:r w:rsidRPr="00C37214">
        <w:rPr>
          <w:rFonts w:ascii="Arial" w:hAnsi="Arial" w:cs="Arial"/>
          <w:sz w:val="20"/>
          <w:szCs w:val="20"/>
        </w:rPr>
        <w:t>2,7</w:t>
      </w:r>
      <w:r w:rsidR="00F37816">
        <w:rPr>
          <w:rFonts w:ascii="Arial" w:hAnsi="Arial" w:cs="Arial"/>
          <w:sz w:val="20"/>
          <w:szCs w:val="20"/>
        </w:rPr>
        <w:t>0</w:t>
      </w:r>
      <w:r w:rsidRPr="00C37214">
        <w:rPr>
          <w:rFonts w:ascii="Arial" w:hAnsi="Arial" w:cs="Arial"/>
          <w:sz w:val="20"/>
          <w:szCs w:val="20"/>
        </w:rPr>
        <w:t xml:space="preserve"> (2015).</w:t>
      </w:r>
    </w:p>
    <w:p w:rsidR="000330E5" w:rsidRPr="00C37214" w:rsidRDefault="000330E5" w:rsidP="00A26218">
      <w:pPr>
        <w:tabs>
          <w:tab w:val="left" w:pos="945"/>
        </w:tabs>
        <w:spacing w:line="384" w:lineRule="auto"/>
        <w:ind w:firstLine="1560"/>
        <w:jc w:val="both"/>
        <w:rPr>
          <w:rFonts w:ascii="Arial" w:hAnsi="Arial" w:cs="Arial"/>
          <w:sz w:val="20"/>
          <w:szCs w:val="20"/>
        </w:rPr>
      </w:pPr>
      <w:r w:rsidRPr="00207DF3">
        <w:rPr>
          <w:rFonts w:ascii="Arial" w:hAnsi="Arial" w:cs="Arial"/>
          <w:b/>
          <w:sz w:val="20"/>
          <w:szCs w:val="20"/>
          <w:u w:val="single"/>
        </w:rPr>
        <w:t xml:space="preserve">META FISCAL COM OBJETIVO DE REDUÇÃO DA DÍVIDA </w:t>
      </w:r>
      <w:r w:rsidR="00207DF3" w:rsidRPr="00207DF3">
        <w:rPr>
          <w:rFonts w:ascii="Arial" w:hAnsi="Arial" w:cs="Arial"/>
          <w:b/>
          <w:sz w:val="20"/>
          <w:szCs w:val="20"/>
          <w:u w:val="single"/>
        </w:rPr>
        <w:t>BRUTA:</w:t>
      </w:r>
      <w:r w:rsidR="00207DF3" w:rsidRPr="00207DF3">
        <w:rPr>
          <w:rFonts w:ascii="Arial" w:hAnsi="Arial" w:cs="Arial"/>
          <w:b/>
          <w:sz w:val="20"/>
          <w:szCs w:val="20"/>
        </w:rPr>
        <w:t xml:space="preserve"> </w:t>
      </w:r>
      <w:r w:rsidRPr="00C37214">
        <w:rPr>
          <w:rFonts w:ascii="Arial" w:hAnsi="Arial" w:cs="Arial"/>
          <w:sz w:val="20"/>
          <w:szCs w:val="20"/>
        </w:rPr>
        <w:t>O novo ministro da Fazenda introduziu um plano fiscal com metas de primário de 1,2% do PIB em 2</w:t>
      </w:r>
      <w:r>
        <w:rPr>
          <w:rFonts w:ascii="Arial" w:hAnsi="Arial" w:cs="Arial"/>
          <w:sz w:val="20"/>
          <w:szCs w:val="20"/>
        </w:rPr>
        <w:t xml:space="preserve">015 e </w:t>
      </w:r>
      <w:r w:rsidR="00A26218">
        <w:rPr>
          <w:rFonts w:ascii="Arial" w:hAnsi="Arial" w:cs="Arial"/>
          <w:sz w:val="20"/>
          <w:szCs w:val="20"/>
        </w:rPr>
        <w:t>de no</w:t>
      </w:r>
      <w:r w:rsidRPr="00C37214">
        <w:rPr>
          <w:rFonts w:ascii="Arial" w:hAnsi="Arial" w:cs="Arial"/>
          <w:sz w:val="20"/>
          <w:szCs w:val="20"/>
        </w:rPr>
        <w:t xml:space="preserve"> mínimo</w:t>
      </w:r>
      <w:r w:rsidR="00A26218">
        <w:rPr>
          <w:rFonts w:ascii="Arial" w:hAnsi="Arial" w:cs="Arial"/>
          <w:sz w:val="20"/>
          <w:szCs w:val="20"/>
        </w:rPr>
        <w:t xml:space="preserve"> 2%</w:t>
      </w:r>
      <w:r w:rsidRPr="00C37214">
        <w:rPr>
          <w:rFonts w:ascii="Arial" w:hAnsi="Arial" w:cs="Arial"/>
          <w:sz w:val="20"/>
          <w:szCs w:val="20"/>
        </w:rPr>
        <w:t xml:space="preserve"> no</w:t>
      </w:r>
      <w:r w:rsidR="00A26218">
        <w:rPr>
          <w:rFonts w:ascii="Arial" w:hAnsi="Arial" w:cs="Arial"/>
          <w:sz w:val="20"/>
          <w:szCs w:val="20"/>
        </w:rPr>
        <w:t>s dois anos</w:t>
      </w:r>
      <w:r>
        <w:rPr>
          <w:rFonts w:ascii="Arial" w:hAnsi="Arial" w:cs="Arial"/>
          <w:sz w:val="20"/>
          <w:szCs w:val="20"/>
        </w:rPr>
        <w:t xml:space="preserve"> seguintes.  Tais resultados, se</w:t>
      </w:r>
      <w:r w:rsidR="00A26218">
        <w:rPr>
          <w:rFonts w:ascii="Arial" w:hAnsi="Arial" w:cs="Arial"/>
          <w:sz w:val="20"/>
          <w:szCs w:val="20"/>
        </w:rPr>
        <w:t xml:space="preserve"> atingidos, reduzirão a dívida</w:t>
      </w:r>
      <w:r w:rsidRPr="00C37214">
        <w:rPr>
          <w:rFonts w:ascii="Arial" w:hAnsi="Arial" w:cs="Arial"/>
          <w:sz w:val="20"/>
          <w:szCs w:val="20"/>
        </w:rPr>
        <w:t xml:space="preserve"> bruta,</w:t>
      </w:r>
      <w:r w:rsidR="00207DF3">
        <w:rPr>
          <w:rFonts w:ascii="Arial" w:hAnsi="Arial" w:cs="Arial"/>
          <w:sz w:val="20"/>
          <w:szCs w:val="20"/>
        </w:rPr>
        <w:t xml:space="preserve"> </w:t>
      </w:r>
      <w:r w:rsidR="00A26218">
        <w:rPr>
          <w:rFonts w:ascii="Arial" w:hAnsi="Arial" w:cs="Arial"/>
          <w:sz w:val="20"/>
          <w:szCs w:val="20"/>
        </w:rPr>
        <w:t>trazendo assim uma série de</w:t>
      </w:r>
      <w:r w:rsidRPr="00C37214">
        <w:rPr>
          <w:rFonts w:ascii="Arial" w:hAnsi="Arial" w:cs="Arial"/>
          <w:sz w:val="20"/>
          <w:szCs w:val="20"/>
        </w:rPr>
        <w:t xml:space="preserve"> be</w:t>
      </w:r>
      <w:r w:rsidR="00A26218">
        <w:rPr>
          <w:rFonts w:ascii="Arial" w:hAnsi="Arial" w:cs="Arial"/>
          <w:sz w:val="20"/>
          <w:szCs w:val="20"/>
        </w:rPr>
        <w:t>nefícios econômicos.  A</w:t>
      </w:r>
      <w:r>
        <w:rPr>
          <w:rFonts w:ascii="Arial" w:hAnsi="Arial" w:cs="Arial"/>
          <w:sz w:val="20"/>
          <w:szCs w:val="20"/>
        </w:rPr>
        <w:t xml:space="preserve"> meta para 2015</w:t>
      </w:r>
      <w:r w:rsidR="00A26218">
        <w:rPr>
          <w:rFonts w:ascii="Arial" w:hAnsi="Arial" w:cs="Arial"/>
          <w:sz w:val="20"/>
          <w:szCs w:val="20"/>
        </w:rPr>
        <w:t xml:space="preserve"> é factível, pois poderão</w:t>
      </w:r>
      <w:r w:rsidRPr="00C37214">
        <w:rPr>
          <w:rFonts w:ascii="Arial" w:hAnsi="Arial" w:cs="Arial"/>
          <w:sz w:val="20"/>
          <w:szCs w:val="20"/>
        </w:rPr>
        <w:t xml:space="preserve"> ser</w:t>
      </w:r>
      <w:r>
        <w:rPr>
          <w:rFonts w:ascii="Arial" w:hAnsi="Arial" w:cs="Arial"/>
          <w:sz w:val="20"/>
          <w:szCs w:val="20"/>
        </w:rPr>
        <w:t xml:space="preserve"> a</w:t>
      </w:r>
      <w:r w:rsidR="00A26218">
        <w:rPr>
          <w:rFonts w:ascii="Arial" w:hAnsi="Arial" w:cs="Arial"/>
          <w:sz w:val="20"/>
          <w:szCs w:val="20"/>
        </w:rPr>
        <w:t>dotadas medidas que não necessitam de apoio</w:t>
      </w:r>
      <w:r w:rsidRPr="00C37214">
        <w:rPr>
          <w:rFonts w:ascii="Arial" w:hAnsi="Arial" w:cs="Arial"/>
          <w:sz w:val="20"/>
          <w:szCs w:val="20"/>
        </w:rPr>
        <w:t xml:space="preserve"> d</w:t>
      </w:r>
      <w:r w:rsidR="00A26218">
        <w:rPr>
          <w:rFonts w:ascii="Arial" w:hAnsi="Arial" w:cs="Arial"/>
          <w:sz w:val="20"/>
          <w:szCs w:val="20"/>
        </w:rPr>
        <w:t>o Congresso.  Para os dois anos</w:t>
      </w:r>
      <w:r w:rsidRPr="00C37214">
        <w:rPr>
          <w:rFonts w:ascii="Arial" w:hAnsi="Arial" w:cs="Arial"/>
          <w:sz w:val="20"/>
          <w:szCs w:val="20"/>
        </w:rPr>
        <w:t xml:space="preserve"> seguintes,no</w:t>
      </w:r>
      <w:r w:rsidR="00C82FF3">
        <w:rPr>
          <w:rFonts w:ascii="Arial" w:hAnsi="Arial" w:cs="Arial"/>
          <w:sz w:val="20"/>
          <w:szCs w:val="20"/>
        </w:rPr>
        <w:t xml:space="preserve"> </w:t>
      </w:r>
      <w:r w:rsidRPr="00C37214">
        <w:rPr>
          <w:rFonts w:ascii="Arial" w:hAnsi="Arial" w:cs="Arial"/>
          <w:sz w:val="20"/>
          <w:szCs w:val="20"/>
        </w:rPr>
        <w:t>entanto, serão necessárias reformas administrativas, tributárias e dos gastos sociais.</w:t>
      </w:r>
    </w:p>
    <w:p w:rsidR="00111C0A" w:rsidRDefault="000330E5" w:rsidP="00A26218">
      <w:pPr>
        <w:spacing w:line="384" w:lineRule="auto"/>
        <w:ind w:firstLine="1560"/>
        <w:jc w:val="both"/>
        <w:rPr>
          <w:rFonts w:ascii="Arial" w:hAnsi="Arial" w:cs="Arial"/>
          <w:sz w:val="20"/>
          <w:szCs w:val="20"/>
        </w:rPr>
      </w:pPr>
      <w:r w:rsidRPr="00207DF3">
        <w:rPr>
          <w:rFonts w:ascii="Arial" w:hAnsi="Arial" w:cs="Arial"/>
          <w:b/>
          <w:sz w:val="20"/>
          <w:szCs w:val="20"/>
          <w:u w:val="single"/>
        </w:rPr>
        <w:t>INFLAÇÃO ELEVADA E PERSISTENTE:</w:t>
      </w:r>
      <w:r w:rsidR="00111C0A" w:rsidRPr="00111C0A">
        <w:rPr>
          <w:rFonts w:ascii="Arial" w:hAnsi="Arial" w:cs="Arial"/>
          <w:b/>
          <w:sz w:val="20"/>
          <w:szCs w:val="20"/>
        </w:rPr>
        <w:t xml:space="preserve"> </w:t>
      </w:r>
      <w:r w:rsidR="00A26218">
        <w:rPr>
          <w:rFonts w:ascii="Arial" w:hAnsi="Arial" w:cs="Arial"/>
          <w:sz w:val="20"/>
          <w:szCs w:val="20"/>
        </w:rPr>
        <w:t>No final desse ano,</w:t>
      </w:r>
      <w:r w:rsidRPr="00C37214">
        <w:rPr>
          <w:rFonts w:ascii="Arial" w:hAnsi="Arial" w:cs="Arial"/>
          <w:sz w:val="20"/>
          <w:szCs w:val="20"/>
        </w:rPr>
        <w:t xml:space="preserve"> o</w:t>
      </w:r>
      <w:r w:rsidR="00895FF5">
        <w:rPr>
          <w:rFonts w:ascii="Arial" w:hAnsi="Arial" w:cs="Arial"/>
          <w:sz w:val="20"/>
          <w:szCs w:val="20"/>
        </w:rPr>
        <w:t xml:space="preserve"> </w:t>
      </w:r>
      <w:r w:rsidRPr="00C37214">
        <w:rPr>
          <w:rFonts w:ascii="Arial" w:hAnsi="Arial" w:cs="Arial"/>
          <w:sz w:val="20"/>
          <w:szCs w:val="20"/>
        </w:rPr>
        <w:t>IPCA deve vir mais pressionado em função de a</w:t>
      </w:r>
      <w:r>
        <w:rPr>
          <w:rFonts w:ascii="Arial" w:hAnsi="Arial" w:cs="Arial"/>
          <w:sz w:val="20"/>
          <w:szCs w:val="20"/>
        </w:rPr>
        <w:t xml:space="preserve">limentos e passagens aéreas, </w:t>
      </w:r>
      <w:r w:rsidRPr="00C37214">
        <w:rPr>
          <w:rFonts w:ascii="Arial" w:hAnsi="Arial" w:cs="Arial"/>
          <w:sz w:val="20"/>
          <w:szCs w:val="20"/>
        </w:rPr>
        <w:t>mantendo o acumulado em 12 meses em patamares próximos ao teto da meta, encerrando o ano em</w:t>
      </w:r>
      <w:r w:rsidR="00111C0A">
        <w:rPr>
          <w:rFonts w:ascii="Arial" w:hAnsi="Arial" w:cs="Arial"/>
          <w:sz w:val="20"/>
          <w:szCs w:val="20"/>
        </w:rPr>
        <w:t xml:space="preserve"> </w:t>
      </w:r>
      <w:r w:rsidRPr="00C37214">
        <w:rPr>
          <w:rFonts w:ascii="Arial" w:hAnsi="Arial" w:cs="Arial"/>
          <w:sz w:val="20"/>
          <w:szCs w:val="20"/>
        </w:rPr>
        <w:t>6,4%. Em2015,</w:t>
      </w:r>
      <w:r w:rsidR="00111C0A">
        <w:rPr>
          <w:rFonts w:ascii="Arial" w:hAnsi="Arial" w:cs="Arial"/>
          <w:sz w:val="20"/>
          <w:szCs w:val="20"/>
        </w:rPr>
        <w:t xml:space="preserve"> </w:t>
      </w:r>
      <w:r w:rsidRPr="00C37214">
        <w:rPr>
          <w:rFonts w:ascii="Arial" w:hAnsi="Arial" w:cs="Arial"/>
          <w:sz w:val="20"/>
          <w:szCs w:val="20"/>
        </w:rPr>
        <w:t>acreditamos que a inflação ao consumidor será mais alta, alcançando 6,5%, graças à</w:t>
      </w:r>
      <w:r w:rsidR="00895FF5">
        <w:rPr>
          <w:rFonts w:ascii="Arial" w:hAnsi="Arial" w:cs="Arial"/>
          <w:sz w:val="20"/>
          <w:szCs w:val="20"/>
        </w:rPr>
        <w:t xml:space="preserve"> </w:t>
      </w:r>
      <w:r w:rsidRPr="00C37214">
        <w:rPr>
          <w:rFonts w:ascii="Arial" w:hAnsi="Arial" w:cs="Arial"/>
          <w:sz w:val="20"/>
          <w:szCs w:val="20"/>
        </w:rPr>
        <w:t xml:space="preserve">volta de reajustes represados </w:t>
      </w:r>
      <w:r w:rsidR="00111C0A">
        <w:rPr>
          <w:rFonts w:ascii="Arial" w:hAnsi="Arial" w:cs="Arial"/>
          <w:sz w:val="20"/>
          <w:szCs w:val="20"/>
        </w:rPr>
        <w:t xml:space="preserve">nos </w:t>
      </w:r>
      <w:r w:rsidRPr="00C37214">
        <w:rPr>
          <w:rFonts w:ascii="Arial" w:hAnsi="Arial" w:cs="Arial"/>
          <w:sz w:val="20"/>
          <w:szCs w:val="20"/>
        </w:rPr>
        <w:t>preços administrados que são descolados do ciclo econômic</w:t>
      </w:r>
      <w:r w:rsidR="00C82FF3">
        <w:rPr>
          <w:rFonts w:ascii="Arial" w:hAnsi="Arial" w:cs="Arial"/>
          <w:sz w:val="20"/>
          <w:szCs w:val="20"/>
        </w:rPr>
        <w:t>o</w:t>
      </w:r>
      <w:r w:rsidR="00111C0A">
        <w:rPr>
          <w:rFonts w:ascii="Arial" w:hAnsi="Arial" w:cs="Arial"/>
          <w:sz w:val="20"/>
          <w:szCs w:val="20"/>
        </w:rPr>
        <w:t xml:space="preserve"> </w:t>
      </w:r>
      <w:r w:rsidRPr="00C37214">
        <w:rPr>
          <w:rFonts w:ascii="Arial" w:hAnsi="Arial" w:cs="Arial"/>
          <w:sz w:val="20"/>
          <w:szCs w:val="20"/>
        </w:rPr>
        <w:t>fraco.</w:t>
      </w:r>
    </w:p>
    <w:p w:rsidR="000330E5" w:rsidRDefault="00A26218" w:rsidP="00A26218">
      <w:pPr>
        <w:spacing w:line="384" w:lineRule="auto"/>
        <w:ind w:firstLine="1560"/>
        <w:jc w:val="both"/>
        <w:rPr>
          <w:rFonts w:ascii="Arial" w:hAnsi="Arial" w:cs="Arial"/>
          <w:b/>
          <w:bCs/>
          <w:smallCaps/>
        </w:rPr>
      </w:pPr>
      <w:r>
        <w:rPr>
          <w:rFonts w:ascii="Arial" w:hAnsi="Arial" w:cs="Arial"/>
          <w:sz w:val="20"/>
          <w:szCs w:val="20"/>
        </w:rPr>
        <w:t>A</w:t>
      </w:r>
      <w:r w:rsidR="000330E5" w:rsidRPr="00C37214">
        <w:rPr>
          <w:rFonts w:ascii="Arial" w:hAnsi="Arial" w:cs="Arial"/>
          <w:sz w:val="20"/>
          <w:szCs w:val="20"/>
        </w:rPr>
        <w:t xml:space="preserve"> persistência</w:t>
      </w:r>
      <w:r w:rsidR="00C82FF3">
        <w:rPr>
          <w:rFonts w:ascii="Arial" w:hAnsi="Arial" w:cs="Arial"/>
          <w:sz w:val="20"/>
          <w:szCs w:val="20"/>
        </w:rPr>
        <w:t xml:space="preserve"> </w:t>
      </w:r>
      <w:r w:rsidR="000330E5" w:rsidRPr="00C37214">
        <w:rPr>
          <w:rFonts w:ascii="Arial" w:hAnsi="Arial" w:cs="Arial"/>
          <w:sz w:val="20"/>
          <w:szCs w:val="20"/>
        </w:rPr>
        <w:t>da inflação elevada com alta de preços administrad</w:t>
      </w:r>
      <w:r w:rsidR="000330E5">
        <w:rPr>
          <w:rFonts w:ascii="Arial" w:hAnsi="Arial" w:cs="Arial"/>
          <w:sz w:val="20"/>
          <w:szCs w:val="20"/>
        </w:rPr>
        <w:t xml:space="preserve">os e </w:t>
      </w:r>
      <w:r w:rsidR="00111C0A">
        <w:rPr>
          <w:rFonts w:ascii="Arial" w:hAnsi="Arial" w:cs="Arial"/>
          <w:sz w:val="20"/>
          <w:szCs w:val="20"/>
        </w:rPr>
        <w:t>depreciação</w:t>
      </w:r>
      <w:r w:rsidR="000330E5">
        <w:rPr>
          <w:rFonts w:ascii="Arial" w:hAnsi="Arial" w:cs="Arial"/>
          <w:sz w:val="20"/>
          <w:szCs w:val="20"/>
        </w:rPr>
        <w:t xml:space="preserve"> cambial, a </w:t>
      </w:r>
      <w:r w:rsidR="000330E5" w:rsidRPr="00C37214">
        <w:rPr>
          <w:rFonts w:ascii="Arial" w:hAnsi="Arial" w:cs="Arial"/>
          <w:sz w:val="20"/>
          <w:szCs w:val="20"/>
        </w:rPr>
        <w:t>despeito da fraqueza da atividade e seu efeito sobre a inflação de preços livres, exige do Banco</w:t>
      </w:r>
      <w:r w:rsidR="00111C0A">
        <w:rPr>
          <w:rFonts w:ascii="Arial" w:hAnsi="Arial" w:cs="Arial"/>
          <w:sz w:val="20"/>
          <w:szCs w:val="20"/>
        </w:rPr>
        <w:t xml:space="preserve"> </w:t>
      </w:r>
      <w:r w:rsidR="000330E5" w:rsidRPr="00C37214">
        <w:rPr>
          <w:rFonts w:ascii="Arial" w:hAnsi="Arial" w:cs="Arial"/>
          <w:sz w:val="20"/>
          <w:szCs w:val="20"/>
        </w:rPr>
        <w:t>Central uma postura mais cautelosa. Após</w:t>
      </w:r>
      <w:r w:rsidR="00111C0A">
        <w:rPr>
          <w:rFonts w:ascii="Arial" w:hAnsi="Arial" w:cs="Arial"/>
          <w:sz w:val="20"/>
          <w:szCs w:val="20"/>
        </w:rPr>
        <w:t xml:space="preserve"> </w:t>
      </w:r>
      <w:r w:rsidR="000330E5" w:rsidRPr="00C37214">
        <w:rPr>
          <w:rFonts w:ascii="Arial" w:hAnsi="Arial" w:cs="Arial"/>
          <w:sz w:val="20"/>
          <w:szCs w:val="20"/>
        </w:rPr>
        <w:t>a alta das taxas de 10% em 2013 para 11,75% em 2014,</w:t>
      </w:r>
      <w:r w:rsidR="00111C0A">
        <w:rPr>
          <w:rFonts w:ascii="Arial" w:hAnsi="Arial" w:cs="Arial"/>
          <w:sz w:val="20"/>
          <w:szCs w:val="20"/>
        </w:rPr>
        <w:t xml:space="preserve"> </w:t>
      </w:r>
      <w:r w:rsidR="000330E5" w:rsidRPr="00C37214">
        <w:rPr>
          <w:rFonts w:ascii="Arial" w:hAnsi="Arial" w:cs="Arial"/>
          <w:sz w:val="20"/>
          <w:szCs w:val="20"/>
        </w:rPr>
        <w:t>esperamos novas altas no</w:t>
      </w:r>
      <w:r w:rsidR="00111C0A">
        <w:rPr>
          <w:rFonts w:ascii="Arial" w:hAnsi="Arial" w:cs="Arial"/>
          <w:sz w:val="20"/>
          <w:szCs w:val="20"/>
        </w:rPr>
        <w:t xml:space="preserve"> </w:t>
      </w:r>
      <w:r w:rsidR="000330E5" w:rsidRPr="00C37214">
        <w:rPr>
          <w:rFonts w:ascii="Arial" w:hAnsi="Arial" w:cs="Arial"/>
          <w:sz w:val="20"/>
          <w:szCs w:val="20"/>
        </w:rPr>
        <w:t>começo</w:t>
      </w:r>
      <w:r>
        <w:rPr>
          <w:rFonts w:ascii="Arial" w:hAnsi="Arial" w:cs="Arial"/>
          <w:sz w:val="20"/>
          <w:szCs w:val="20"/>
        </w:rPr>
        <w:t xml:space="preserve"> de 2015 com a Selic terminando</w:t>
      </w:r>
      <w:r w:rsidR="000330E5" w:rsidRPr="00C37214">
        <w:rPr>
          <w:rFonts w:ascii="Arial" w:hAnsi="Arial" w:cs="Arial"/>
          <w:sz w:val="20"/>
          <w:szCs w:val="20"/>
        </w:rPr>
        <w:t xml:space="preserve"> o próximo ano em 12,5%.</w:t>
      </w:r>
    </w:p>
    <w:p w:rsidR="00332542" w:rsidRDefault="00332542" w:rsidP="00332542">
      <w:pPr>
        <w:autoSpaceDE w:val="0"/>
        <w:autoSpaceDN w:val="0"/>
        <w:adjustRightInd w:val="0"/>
        <w:spacing w:after="120" w:line="312" w:lineRule="auto"/>
        <w:ind w:firstLine="1418"/>
        <w:jc w:val="both"/>
        <w:rPr>
          <w:rFonts w:ascii="Arial" w:hAnsi="Arial" w:cs="Arial"/>
          <w:bCs/>
          <w:sz w:val="20"/>
          <w:szCs w:val="20"/>
        </w:rPr>
      </w:pPr>
      <w:r w:rsidRPr="00E830C3">
        <w:rPr>
          <w:rFonts w:ascii="Arial" w:hAnsi="Arial" w:cs="Arial"/>
          <w:bCs/>
          <w:sz w:val="20"/>
          <w:szCs w:val="20"/>
        </w:rPr>
        <w:lastRenderedPageBreak/>
        <w:t>Dentro dos investimentos da AMPREV, o CIAP observará as projeções do COPOM para a taxa de juros em 201</w:t>
      </w:r>
      <w:r w:rsidR="00A26218">
        <w:rPr>
          <w:rFonts w:ascii="Arial" w:hAnsi="Arial" w:cs="Arial"/>
          <w:bCs/>
          <w:sz w:val="20"/>
          <w:szCs w:val="20"/>
        </w:rPr>
        <w:t>5</w:t>
      </w:r>
      <w:r w:rsidRPr="00E830C3">
        <w:rPr>
          <w:rFonts w:ascii="Arial" w:hAnsi="Arial" w:cs="Arial"/>
          <w:bCs/>
          <w:sz w:val="20"/>
          <w:szCs w:val="20"/>
        </w:rPr>
        <w:t>, bem como acompanhará o cenário nacional e internacional, onde adotará medidas pontuais a fim de garantir o cumprimento da meta atuarial da instituição. No segmento de renda fixa e renda variável, será seguido o que determina a legislação pertinente do Ministério da Previdência e do Conselho Monetário Nacional – CMN.</w:t>
      </w:r>
    </w:p>
    <w:p w:rsidR="001D3FEB" w:rsidRDefault="001D3FEB" w:rsidP="00431D0F">
      <w:pPr>
        <w:autoSpaceDE w:val="0"/>
        <w:autoSpaceDN w:val="0"/>
        <w:adjustRightInd w:val="0"/>
        <w:spacing w:after="120"/>
        <w:rPr>
          <w:rFonts w:ascii="Arial" w:hAnsi="Arial" w:cs="Arial"/>
          <w:b/>
          <w:bCs/>
          <w:smallCaps/>
          <w:sz w:val="20"/>
          <w:szCs w:val="20"/>
        </w:rPr>
      </w:pPr>
    </w:p>
    <w:p w:rsidR="00713C55" w:rsidRPr="00431D0F" w:rsidRDefault="00431D0F" w:rsidP="00431D0F">
      <w:pPr>
        <w:autoSpaceDE w:val="0"/>
        <w:autoSpaceDN w:val="0"/>
        <w:adjustRightInd w:val="0"/>
        <w:spacing w:after="120"/>
        <w:rPr>
          <w:rFonts w:ascii="Arial" w:hAnsi="Arial" w:cs="Arial"/>
          <w:b/>
          <w:bCs/>
          <w:smallCaps/>
          <w:sz w:val="20"/>
          <w:szCs w:val="20"/>
        </w:rPr>
      </w:pPr>
      <w:r w:rsidRPr="00431D0F">
        <w:rPr>
          <w:rFonts w:ascii="Arial" w:hAnsi="Arial" w:cs="Arial"/>
          <w:b/>
          <w:bCs/>
          <w:smallCaps/>
          <w:sz w:val="20"/>
          <w:szCs w:val="20"/>
        </w:rPr>
        <w:t>6.3. COMPORTAMENTO DA CARTEIRA DE INVESTIMENTOS</w:t>
      </w:r>
    </w:p>
    <w:p w:rsidR="006D1FF0" w:rsidRPr="00187567" w:rsidRDefault="00713C55" w:rsidP="00431D0F">
      <w:pPr>
        <w:autoSpaceDE w:val="0"/>
        <w:autoSpaceDN w:val="0"/>
        <w:adjustRightInd w:val="0"/>
        <w:spacing w:after="120" w:line="312" w:lineRule="auto"/>
        <w:ind w:firstLine="1418"/>
        <w:jc w:val="both"/>
        <w:rPr>
          <w:rFonts w:ascii="Arial" w:hAnsi="Arial" w:cs="Arial"/>
          <w:sz w:val="20"/>
          <w:szCs w:val="20"/>
        </w:rPr>
      </w:pPr>
      <w:r w:rsidRPr="00187567">
        <w:rPr>
          <w:rFonts w:ascii="Arial" w:hAnsi="Arial" w:cs="Arial"/>
          <w:sz w:val="20"/>
          <w:szCs w:val="20"/>
        </w:rPr>
        <w:t xml:space="preserve">No encerramento </w:t>
      </w:r>
      <w:r w:rsidR="008D5535" w:rsidRPr="00187567">
        <w:rPr>
          <w:rFonts w:ascii="Arial" w:hAnsi="Arial" w:cs="Arial"/>
          <w:sz w:val="20"/>
          <w:szCs w:val="20"/>
        </w:rPr>
        <w:t xml:space="preserve">total dos Planos Financeiro e Previdenciário </w:t>
      </w:r>
      <w:r w:rsidRPr="00187567">
        <w:rPr>
          <w:rFonts w:ascii="Arial" w:hAnsi="Arial" w:cs="Arial"/>
          <w:sz w:val="20"/>
          <w:szCs w:val="20"/>
        </w:rPr>
        <w:t xml:space="preserve">de </w:t>
      </w:r>
      <w:r w:rsidR="00996376" w:rsidRPr="00187567">
        <w:rPr>
          <w:rFonts w:ascii="Arial" w:hAnsi="Arial" w:cs="Arial"/>
          <w:sz w:val="20"/>
          <w:szCs w:val="20"/>
        </w:rPr>
        <w:t>outu</w:t>
      </w:r>
      <w:r w:rsidRPr="00187567">
        <w:rPr>
          <w:rFonts w:ascii="Arial" w:hAnsi="Arial" w:cs="Arial"/>
          <w:sz w:val="20"/>
          <w:szCs w:val="20"/>
        </w:rPr>
        <w:t xml:space="preserve">bro de </w:t>
      </w:r>
      <w:r w:rsidRPr="003955D8">
        <w:rPr>
          <w:rFonts w:ascii="Arial" w:hAnsi="Arial" w:cs="Arial"/>
          <w:sz w:val="20"/>
          <w:szCs w:val="20"/>
        </w:rPr>
        <w:t>201</w:t>
      </w:r>
      <w:r w:rsidR="00667A19">
        <w:rPr>
          <w:rFonts w:ascii="Arial" w:hAnsi="Arial" w:cs="Arial"/>
          <w:sz w:val="20"/>
          <w:szCs w:val="20"/>
        </w:rPr>
        <w:t>4</w:t>
      </w:r>
      <w:r w:rsidR="00AC5D48">
        <w:rPr>
          <w:rFonts w:ascii="Arial" w:hAnsi="Arial" w:cs="Arial"/>
          <w:sz w:val="20"/>
          <w:szCs w:val="20"/>
        </w:rPr>
        <w:t xml:space="preserve"> </w:t>
      </w:r>
      <w:r w:rsidR="00135B6E" w:rsidRPr="00187567">
        <w:rPr>
          <w:rFonts w:ascii="Arial" w:hAnsi="Arial" w:cs="Arial"/>
          <w:sz w:val="20"/>
          <w:szCs w:val="20"/>
        </w:rPr>
        <w:t>(3</w:t>
      </w:r>
      <w:r w:rsidR="00996376" w:rsidRPr="00187567">
        <w:rPr>
          <w:rFonts w:ascii="Arial" w:hAnsi="Arial" w:cs="Arial"/>
          <w:sz w:val="20"/>
          <w:szCs w:val="20"/>
        </w:rPr>
        <w:t>1</w:t>
      </w:r>
      <w:r w:rsidR="00135B6E" w:rsidRPr="00187567">
        <w:rPr>
          <w:rFonts w:ascii="Arial" w:hAnsi="Arial" w:cs="Arial"/>
          <w:sz w:val="20"/>
          <w:szCs w:val="20"/>
        </w:rPr>
        <w:t>/1</w:t>
      </w:r>
      <w:r w:rsidR="003955D8">
        <w:rPr>
          <w:rFonts w:ascii="Arial" w:hAnsi="Arial" w:cs="Arial"/>
          <w:sz w:val="20"/>
          <w:szCs w:val="20"/>
        </w:rPr>
        <w:t>0/201</w:t>
      </w:r>
      <w:r w:rsidR="00667A19">
        <w:rPr>
          <w:rFonts w:ascii="Arial" w:hAnsi="Arial" w:cs="Arial"/>
          <w:sz w:val="20"/>
          <w:szCs w:val="20"/>
        </w:rPr>
        <w:t>4</w:t>
      </w:r>
      <w:r w:rsidR="00135B6E" w:rsidRPr="00187567">
        <w:rPr>
          <w:rFonts w:ascii="Arial" w:hAnsi="Arial" w:cs="Arial"/>
          <w:sz w:val="20"/>
          <w:szCs w:val="20"/>
        </w:rPr>
        <w:t>)</w:t>
      </w:r>
      <w:r w:rsidR="00100D71" w:rsidRPr="00187567">
        <w:rPr>
          <w:rFonts w:ascii="Arial" w:hAnsi="Arial" w:cs="Arial"/>
          <w:sz w:val="20"/>
          <w:szCs w:val="20"/>
        </w:rPr>
        <w:t>,</w:t>
      </w:r>
      <w:r w:rsidRPr="00187567">
        <w:rPr>
          <w:rFonts w:ascii="Arial" w:hAnsi="Arial" w:cs="Arial"/>
          <w:sz w:val="20"/>
          <w:szCs w:val="20"/>
        </w:rPr>
        <w:t xml:space="preserve"> a Carteira de Investimentos da AMPREV </w:t>
      </w:r>
      <w:r w:rsidR="006D1FF0" w:rsidRPr="00187567">
        <w:rPr>
          <w:rFonts w:ascii="Arial" w:hAnsi="Arial" w:cs="Arial"/>
          <w:sz w:val="20"/>
          <w:szCs w:val="20"/>
        </w:rPr>
        <w:t xml:space="preserve">fechou </w:t>
      </w:r>
      <w:r w:rsidR="00C7738A" w:rsidRPr="00187567">
        <w:rPr>
          <w:rFonts w:ascii="Arial" w:hAnsi="Arial" w:cs="Arial"/>
          <w:sz w:val="20"/>
          <w:szCs w:val="20"/>
        </w:rPr>
        <w:t>com</w:t>
      </w:r>
      <w:r w:rsidR="006D1FF0" w:rsidRPr="00187567">
        <w:rPr>
          <w:rFonts w:ascii="Arial" w:hAnsi="Arial" w:cs="Arial"/>
          <w:sz w:val="20"/>
          <w:szCs w:val="20"/>
        </w:rPr>
        <w:t xml:space="preserve"> saldo disponível de </w:t>
      </w:r>
      <w:r w:rsidR="00A32A37" w:rsidRPr="00187567">
        <w:rPr>
          <w:rFonts w:ascii="Arial" w:hAnsi="Arial" w:cs="Arial"/>
          <w:b/>
          <w:sz w:val="20"/>
          <w:szCs w:val="20"/>
        </w:rPr>
        <w:t>R$</w:t>
      </w:r>
      <w:r w:rsidR="00667A19">
        <w:rPr>
          <w:rFonts w:ascii="Arial" w:hAnsi="Arial" w:cs="Arial"/>
          <w:b/>
          <w:sz w:val="20"/>
          <w:szCs w:val="20"/>
        </w:rPr>
        <w:t>2</w:t>
      </w:r>
      <w:r w:rsidR="003955D8">
        <w:rPr>
          <w:rFonts w:ascii="Arial" w:hAnsi="Arial" w:cs="Arial"/>
          <w:b/>
          <w:sz w:val="20"/>
          <w:szCs w:val="20"/>
        </w:rPr>
        <w:t>.</w:t>
      </w:r>
      <w:r w:rsidR="00667A19">
        <w:rPr>
          <w:rFonts w:ascii="Arial" w:hAnsi="Arial" w:cs="Arial"/>
          <w:b/>
          <w:sz w:val="20"/>
          <w:szCs w:val="20"/>
        </w:rPr>
        <w:t>173.308.830,02</w:t>
      </w:r>
      <w:r w:rsidR="006D1FF0" w:rsidRPr="00187567">
        <w:rPr>
          <w:rFonts w:ascii="Arial" w:hAnsi="Arial" w:cs="Arial"/>
          <w:sz w:val="20"/>
          <w:szCs w:val="20"/>
        </w:rPr>
        <w:t xml:space="preserve"> em recursos</w:t>
      </w:r>
      <w:r w:rsidR="00895FF5">
        <w:rPr>
          <w:rFonts w:ascii="Arial" w:hAnsi="Arial" w:cs="Arial"/>
          <w:sz w:val="20"/>
          <w:szCs w:val="20"/>
        </w:rPr>
        <w:t xml:space="preserve"> </w:t>
      </w:r>
      <w:r w:rsidR="00C7738A" w:rsidRPr="00187567">
        <w:rPr>
          <w:rFonts w:ascii="Arial" w:hAnsi="Arial" w:cs="Arial"/>
          <w:sz w:val="20"/>
          <w:szCs w:val="20"/>
        </w:rPr>
        <w:t>aplicados</w:t>
      </w:r>
      <w:r w:rsidR="006D1FF0" w:rsidRPr="00187567">
        <w:rPr>
          <w:rFonts w:ascii="Arial" w:hAnsi="Arial" w:cs="Arial"/>
          <w:sz w:val="20"/>
          <w:szCs w:val="20"/>
        </w:rPr>
        <w:t xml:space="preserve"> e </w:t>
      </w:r>
      <w:r w:rsidR="006D1FF0" w:rsidRPr="00187567">
        <w:rPr>
          <w:rFonts w:ascii="Arial" w:hAnsi="Arial" w:cs="Arial"/>
          <w:b/>
          <w:sz w:val="20"/>
          <w:szCs w:val="20"/>
        </w:rPr>
        <w:t xml:space="preserve">R$ </w:t>
      </w:r>
      <w:r w:rsidR="00667A19">
        <w:rPr>
          <w:rFonts w:ascii="Arial" w:hAnsi="Arial" w:cs="Arial"/>
          <w:b/>
          <w:sz w:val="20"/>
          <w:szCs w:val="20"/>
        </w:rPr>
        <w:t>36.252.966,67</w:t>
      </w:r>
      <w:r w:rsidR="006D1FF0" w:rsidRPr="00187567">
        <w:rPr>
          <w:rFonts w:ascii="Arial" w:hAnsi="Arial" w:cs="Arial"/>
          <w:sz w:val="20"/>
          <w:szCs w:val="20"/>
        </w:rPr>
        <w:t xml:space="preserve"> com saldos em contas</w:t>
      </w:r>
      <w:r w:rsidR="00100D71" w:rsidRPr="00187567">
        <w:rPr>
          <w:rFonts w:ascii="Arial" w:hAnsi="Arial" w:cs="Arial"/>
          <w:sz w:val="20"/>
          <w:szCs w:val="20"/>
        </w:rPr>
        <w:t>-</w:t>
      </w:r>
      <w:r w:rsidR="006D1FF0" w:rsidRPr="00187567">
        <w:rPr>
          <w:rFonts w:ascii="Arial" w:hAnsi="Arial" w:cs="Arial"/>
          <w:sz w:val="20"/>
          <w:szCs w:val="20"/>
        </w:rPr>
        <w:t>correntes</w:t>
      </w:r>
      <w:r w:rsidR="009C4AB0">
        <w:rPr>
          <w:rFonts w:ascii="Arial" w:hAnsi="Arial" w:cs="Arial"/>
          <w:sz w:val="20"/>
          <w:szCs w:val="20"/>
        </w:rPr>
        <w:t>.</w:t>
      </w:r>
    </w:p>
    <w:p w:rsidR="00713C55" w:rsidRPr="00187567" w:rsidRDefault="006D1FF0" w:rsidP="00431D0F">
      <w:pPr>
        <w:autoSpaceDE w:val="0"/>
        <w:autoSpaceDN w:val="0"/>
        <w:adjustRightInd w:val="0"/>
        <w:spacing w:after="120" w:line="312" w:lineRule="auto"/>
        <w:ind w:firstLine="1418"/>
        <w:jc w:val="both"/>
        <w:rPr>
          <w:rFonts w:ascii="Arial" w:hAnsi="Arial" w:cs="Arial"/>
          <w:sz w:val="20"/>
          <w:szCs w:val="20"/>
        </w:rPr>
      </w:pPr>
      <w:r w:rsidRPr="00187567">
        <w:rPr>
          <w:rFonts w:ascii="Arial" w:hAnsi="Arial" w:cs="Arial"/>
          <w:sz w:val="20"/>
          <w:szCs w:val="20"/>
        </w:rPr>
        <w:t>No</w:t>
      </w:r>
      <w:r w:rsidR="00C7738A" w:rsidRPr="00187567">
        <w:rPr>
          <w:rFonts w:ascii="Arial" w:hAnsi="Arial" w:cs="Arial"/>
          <w:sz w:val="20"/>
          <w:szCs w:val="20"/>
        </w:rPr>
        <w:t xml:space="preserve"> segmento de </w:t>
      </w:r>
      <w:r w:rsidR="00C7738A" w:rsidRPr="00187567">
        <w:rPr>
          <w:rFonts w:ascii="Arial" w:hAnsi="Arial" w:cs="Arial"/>
          <w:b/>
          <w:sz w:val="20"/>
          <w:szCs w:val="20"/>
        </w:rPr>
        <w:t>renda fixa</w:t>
      </w:r>
      <w:r w:rsidR="00100D71" w:rsidRPr="00187567">
        <w:rPr>
          <w:rFonts w:ascii="Arial" w:hAnsi="Arial" w:cs="Arial"/>
          <w:b/>
          <w:sz w:val="20"/>
          <w:szCs w:val="20"/>
        </w:rPr>
        <w:t>,</w:t>
      </w:r>
      <w:r w:rsidR="003F137B" w:rsidRPr="00187567">
        <w:rPr>
          <w:rFonts w:ascii="Arial" w:hAnsi="Arial" w:cs="Arial"/>
          <w:sz w:val="20"/>
          <w:szCs w:val="20"/>
        </w:rPr>
        <w:t xml:space="preserve"> o saldo em recursos financeiros a</w:t>
      </w:r>
      <w:r w:rsidR="00E0091D" w:rsidRPr="00187567">
        <w:rPr>
          <w:rFonts w:ascii="Arial" w:hAnsi="Arial" w:cs="Arial"/>
          <w:sz w:val="20"/>
          <w:szCs w:val="20"/>
        </w:rPr>
        <w:t>plicados fechou</w:t>
      </w:r>
      <w:r w:rsidR="00895FF5">
        <w:rPr>
          <w:rFonts w:ascii="Arial" w:hAnsi="Arial" w:cs="Arial"/>
          <w:sz w:val="20"/>
          <w:szCs w:val="20"/>
        </w:rPr>
        <w:t xml:space="preserve"> </w:t>
      </w:r>
      <w:r w:rsidR="00104A67">
        <w:rPr>
          <w:rFonts w:ascii="Arial" w:hAnsi="Arial" w:cs="Arial"/>
          <w:sz w:val="20"/>
          <w:szCs w:val="20"/>
        </w:rPr>
        <w:t>outubro</w:t>
      </w:r>
      <w:r w:rsidR="002C7703">
        <w:rPr>
          <w:rFonts w:ascii="Arial" w:hAnsi="Arial" w:cs="Arial"/>
          <w:sz w:val="20"/>
          <w:szCs w:val="20"/>
        </w:rPr>
        <w:t xml:space="preserve"> de 201</w:t>
      </w:r>
      <w:r w:rsidR="00667A19">
        <w:rPr>
          <w:rFonts w:ascii="Arial" w:hAnsi="Arial" w:cs="Arial"/>
          <w:sz w:val="20"/>
          <w:szCs w:val="20"/>
        </w:rPr>
        <w:t>4</w:t>
      </w:r>
      <w:r w:rsidR="00DA281E">
        <w:rPr>
          <w:rFonts w:ascii="Arial" w:hAnsi="Arial" w:cs="Arial"/>
          <w:sz w:val="20"/>
          <w:szCs w:val="20"/>
        </w:rPr>
        <w:t xml:space="preserve"> </w:t>
      </w:r>
      <w:r w:rsidR="00E0091D" w:rsidRPr="00187567">
        <w:rPr>
          <w:rFonts w:ascii="Arial" w:hAnsi="Arial" w:cs="Arial"/>
          <w:sz w:val="20"/>
          <w:szCs w:val="20"/>
        </w:rPr>
        <w:t>em</w:t>
      </w:r>
      <w:r w:rsidR="00DA281E">
        <w:rPr>
          <w:rFonts w:ascii="Arial" w:hAnsi="Arial" w:cs="Arial"/>
          <w:sz w:val="20"/>
          <w:szCs w:val="20"/>
        </w:rPr>
        <w:t xml:space="preserve"> </w:t>
      </w:r>
      <w:r w:rsidR="00C7738A" w:rsidRPr="00187567">
        <w:rPr>
          <w:rFonts w:ascii="Arial" w:hAnsi="Arial" w:cs="Arial"/>
          <w:b/>
          <w:sz w:val="20"/>
          <w:szCs w:val="20"/>
        </w:rPr>
        <w:t>R$</w:t>
      </w:r>
      <w:r w:rsidR="00135B6E" w:rsidRPr="00187567">
        <w:rPr>
          <w:rFonts w:ascii="Arial" w:hAnsi="Arial" w:cs="Arial"/>
          <w:b/>
          <w:sz w:val="20"/>
          <w:szCs w:val="20"/>
        </w:rPr>
        <w:t xml:space="preserve"> 1.</w:t>
      </w:r>
      <w:r w:rsidR="00667A19">
        <w:rPr>
          <w:rFonts w:ascii="Arial" w:hAnsi="Arial" w:cs="Arial"/>
          <w:b/>
          <w:sz w:val="20"/>
          <w:szCs w:val="20"/>
        </w:rPr>
        <w:t>897.751.772,44</w:t>
      </w:r>
      <w:r w:rsidR="00135B6E" w:rsidRPr="00187567">
        <w:rPr>
          <w:rFonts w:ascii="Arial" w:hAnsi="Arial" w:cs="Arial"/>
          <w:sz w:val="20"/>
          <w:szCs w:val="20"/>
        </w:rPr>
        <w:t xml:space="preserve">e </w:t>
      </w:r>
      <w:r w:rsidR="00C7738A" w:rsidRPr="00187567">
        <w:rPr>
          <w:rFonts w:ascii="Arial" w:hAnsi="Arial" w:cs="Arial"/>
          <w:sz w:val="20"/>
          <w:szCs w:val="20"/>
        </w:rPr>
        <w:t xml:space="preserve">no segmento de </w:t>
      </w:r>
      <w:r w:rsidR="00C7738A" w:rsidRPr="00187567">
        <w:rPr>
          <w:rFonts w:ascii="Arial" w:hAnsi="Arial" w:cs="Arial"/>
          <w:b/>
          <w:sz w:val="20"/>
          <w:szCs w:val="20"/>
        </w:rPr>
        <w:t>renda variável</w:t>
      </w:r>
      <w:r w:rsidR="00135B6E" w:rsidRPr="00187567">
        <w:rPr>
          <w:rFonts w:ascii="Arial" w:hAnsi="Arial" w:cs="Arial"/>
          <w:sz w:val="20"/>
          <w:szCs w:val="20"/>
        </w:rPr>
        <w:t xml:space="preserve"> em </w:t>
      </w:r>
      <w:r w:rsidR="00135B6E" w:rsidRPr="00187567">
        <w:rPr>
          <w:rFonts w:ascii="Arial" w:hAnsi="Arial" w:cs="Arial"/>
          <w:b/>
          <w:sz w:val="20"/>
          <w:szCs w:val="20"/>
        </w:rPr>
        <w:t xml:space="preserve">R$ </w:t>
      </w:r>
      <w:r w:rsidR="00B94E31">
        <w:rPr>
          <w:rFonts w:ascii="Arial" w:hAnsi="Arial" w:cs="Arial"/>
          <w:b/>
          <w:sz w:val="20"/>
          <w:szCs w:val="20"/>
        </w:rPr>
        <w:t>275.557.057,58</w:t>
      </w:r>
      <w:r w:rsidR="002C7703">
        <w:rPr>
          <w:rFonts w:ascii="Arial" w:hAnsi="Arial" w:cs="Arial"/>
          <w:b/>
          <w:sz w:val="20"/>
          <w:szCs w:val="20"/>
        </w:rPr>
        <w:t>.</w:t>
      </w:r>
    </w:p>
    <w:p w:rsidR="00713C55" w:rsidRPr="00187567" w:rsidRDefault="00713C55" w:rsidP="008801CC">
      <w:pPr>
        <w:autoSpaceDE w:val="0"/>
        <w:autoSpaceDN w:val="0"/>
        <w:adjustRightInd w:val="0"/>
        <w:spacing w:after="360" w:line="312" w:lineRule="auto"/>
        <w:ind w:firstLine="1418"/>
        <w:jc w:val="both"/>
        <w:rPr>
          <w:rFonts w:ascii="Arial" w:hAnsi="Arial" w:cs="Arial"/>
          <w:sz w:val="20"/>
          <w:szCs w:val="20"/>
        </w:rPr>
      </w:pPr>
      <w:r w:rsidRPr="00187567">
        <w:rPr>
          <w:rFonts w:ascii="Arial" w:hAnsi="Arial" w:cs="Arial"/>
          <w:sz w:val="20"/>
          <w:szCs w:val="20"/>
        </w:rPr>
        <w:t>A Carteira de Investimentos da AMPREV</w:t>
      </w:r>
      <w:r w:rsidR="00135B6E" w:rsidRPr="00187567">
        <w:rPr>
          <w:rFonts w:ascii="Arial" w:hAnsi="Arial" w:cs="Arial"/>
          <w:sz w:val="20"/>
          <w:szCs w:val="20"/>
        </w:rPr>
        <w:t xml:space="preserve">, até </w:t>
      </w:r>
      <w:r w:rsidR="002C7703">
        <w:rPr>
          <w:rFonts w:ascii="Arial" w:hAnsi="Arial" w:cs="Arial"/>
          <w:sz w:val="20"/>
          <w:szCs w:val="20"/>
        </w:rPr>
        <w:t>outubro de 201</w:t>
      </w:r>
      <w:r w:rsidR="00667A19">
        <w:rPr>
          <w:rFonts w:ascii="Arial" w:hAnsi="Arial" w:cs="Arial"/>
          <w:sz w:val="20"/>
          <w:szCs w:val="20"/>
        </w:rPr>
        <w:t>4</w:t>
      </w:r>
      <w:r w:rsidRPr="00187567">
        <w:rPr>
          <w:rFonts w:ascii="Arial" w:hAnsi="Arial" w:cs="Arial"/>
          <w:sz w:val="20"/>
          <w:szCs w:val="20"/>
        </w:rPr>
        <w:t>, apresenta na sua composição</w:t>
      </w:r>
      <w:r w:rsidR="00100D71" w:rsidRPr="00187567">
        <w:rPr>
          <w:rFonts w:ascii="Arial" w:hAnsi="Arial" w:cs="Arial"/>
          <w:sz w:val="20"/>
          <w:szCs w:val="20"/>
        </w:rPr>
        <w:t>,</w:t>
      </w:r>
      <w:r w:rsidRPr="00187567">
        <w:rPr>
          <w:rFonts w:ascii="Arial" w:hAnsi="Arial" w:cs="Arial"/>
          <w:sz w:val="20"/>
          <w:szCs w:val="20"/>
        </w:rPr>
        <w:t xml:space="preserve"> investimentos</w:t>
      </w:r>
      <w:r w:rsidR="00012A5E" w:rsidRPr="00187567">
        <w:rPr>
          <w:rFonts w:ascii="Arial" w:hAnsi="Arial" w:cs="Arial"/>
          <w:sz w:val="20"/>
          <w:szCs w:val="20"/>
        </w:rPr>
        <w:t xml:space="preserve"> em</w:t>
      </w:r>
      <w:r w:rsidRPr="00187567">
        <w:rPr>
          <w:rFonts w:ascii="Arial" w:hAnsi="Arial" w:cs="Arial"/>
          <w:sz w:val="20"/>
          <w:szCs w:val="20"/>
        </w:rPr>
        <w:t xml:space="preserve"> 0</w:t>
      </w:r>
      <w:r w:rsidR="00B94E31">
        <w:rPr>
          <w:rFonts w:ascii="Arial" w:hAnsi="Arial" w:cs="Arial"/>
          <w:sz w:val="20"/>
          <w:szCs w:val="20"/>
        </w:rPr>
        <w:t>3</w:t>
      </w:r>
      <w:r w:rsidRPr="00187567">
        <w:rPr>
          <w:rFonts w:ascii="Arial" w:hAnsi="Arial" w:cs="Arial"/>
          <w:sz w:val="20"/>
          <w:szCs w:val="20"/>
        </w:rPr>
        <w:t xml:space="preserve"> (</w:t>
      </w:r>
      <w:r w:rsidR="00B94E31">
        <w:rPr>
          <w:rFonts w:ascii="Arial" w:hAnsi="Arial" w:cs="Arial"/>
          <w:sz w:val="20"/>
          <w:szCs w:val="20"/>
        </w:rPr>
        <w:t>três</w:t>
      </w:r>
      <w:r w:rsidRPr="00187567">
        <w:rPr>
          <w:rFonts w:ascii="Arial" w:hAnsi="Arial" w:cs="Arial"/>
          <w:sz w:val="20"/>
          <w:szCs w:val="20"/>
        </w:rPr>
        <w:t>) carteiras administradas</w:t>
      </w:r>
      <w:r w:rsidR="008801CC" w:rsidRPr="00187567">
        <w:rPr>
          <w:rFonts w:ascii="Arial" w:hAnsi="Arial" w:cs="Arial"/>
          <w:sz w:val="20"/>
          <w:szCs w:val="20"/>
        </w:rPr>
        <w:t xml:space="preserve"> de títulos públicos federais</w:t>
      </w:r>
      <w:r w:rsidRPr="00187567">
        <w:rPr>
          <w:rFonts w:ascii="Arial" w:hAnsi="Arial" w:cs="Arial"/>
          <w:sz w:val="20"/>
          <w:szCs w:val="20"/>
        </w:rPr>
        <w:t xml:space="preserve">, </w:t>
      </w:r>
      <w:r w:rsidR="009C4AB0">
        <w:rPr>
          <w:rFonts w:ascii="Arial" w:hAnsi="Arial" w:cs="Arial"/>
          <w:sz w:val="20"/>
          <w:szCs w:val="20"/>
        </w:rPr>
        <w:t>2</w:t>
      </w:r>
      <w:r w:rsidR="00B94E31">
        <w:rPr>
          <w:rFonts w:ascii="Arial" w:hAnsi="Arial" w:cs="Arial"/>
          <w:sz w:val="20"/>
          <w:szCs w:val="20"/>
        </w:rPr>
        <w:t>8</w:t>
      </w:r>
      <w:r w:rsidRPr="00187567">
        <w:rPr>
          <w:rFonts w:ascii="Arial" w:hAnsi="Arial" w:cs="Arial"/>
          <w:sz w:val="20"/>
          <w:szCs w:val="20"/>
        </w:rPr>
        <w:t xml:space="preserve"> (</w:t>
      </w:r>
      <w:r w:rsidR="008801CC" w:rsidRPr="00187567">
        <w:rPr>
          <w:rFonts w:ascii="Arial" w:hAnsi="Arial" w:cs="Arial"/>
          <w:sz w:val="20"/>
          <w:szCs w:val="20"/>
        </w:rPr>
        <w:t>vinte</w:t>
      </w:r>
      <w:r w:rsidR="009C4AB0">
        <w:rPr>
          <w:rFonts w:ascii="Arial" w:hAnsi="Arial" w:cs="Arial"/>
          <w:sz w:val="20"/>
          <w:szCs w:val="20"/>
        </w:rPr>
        <w:t xml:space="preserve"> e </w:t>
      </w:r>
      <w:r w:rsidR="00B94E31">
        <w:rPr>
          <w:rFonts w:ascii="Arial" w:hAnsi="Arial" w:cs="Arial"/>
          <w:sz w:val="20"/>
          <w:szCs w:val="20"/>
        </w:rPr>
        <w:t>oi</w:t>
      </w:r>
      <w:r w:rsidR="009C4AB0">
        <w:rPr>
          <w:rFonts w:ascii="Arial" w:hAnsi="Arial" w:cs="Arial"/>
          <w:sz w:val="20"/>
          <w:szCs w:val="20"/>
        </w:rPr>
        <w:t>t</w:t>
      </w:r>
      <w:r w:rsidR="00B94E31">
        <w:rPr>
          <w:rFonts w:ascii="Arial" w:hAnsi="Arial" w:cs="Arial"/>
          <w:sz w:val="20"/>
          <w:szCs w:val="20"/>
        </w:rPr>
        <w:t>o</w:t>
      </w:r>
      <w:r w:rsidRPr="00187567">
        <w:rPr>
          <w:rFonts w:ascii="Arial" w:hAnsi="Arial" w:cs="Arial"/>
          <w:sz w:val="20"/>
          <w:szCs w:val="20"/>
        </w:rPr>
        <w:t>)</w:t>
      </w:r>
      <w:r w:rsidR="00DA281E">
        <w:rPr>
          <w:rFonts w:ascii="Arial" w:hAnsi="Arial" w:cs="Arial"/>
          <w:sz w:val="20"/>
          <w:szCs w:val="20"/>
        </w:rPr>
        <w:t xml:space="preserve"> </w:t>
      </w:r>
      <w:r w:rsidR="008801CC" w:rsidRPr="00187567">
        <w:rPr>
          <w:rFonts w:ascii="Arial" w:hAnsi="Arial" w:cs="Arial"/>
          <w:sz w:val="20"/>
          <w:szCs w:val="20"/>
        </w:rPr>
        <w:t>f</w:t>
      </w:r>
      <w:r w:rsidRPr="00187567">
        <w:rPr>
          <w:rFonts w:ascii="Arial" w:hAnsi="Arial" w:cs="Arial"/>
          <w:sz w:val="20"/>
          <w:szCs w:val="20"/>
        </w:rPr>
        <w:t>undos de renda fixa</w:t>
      </w:r>
      <w:r w:rsidR="009C4AB0">
        <w:rPr>
          <w:rFonts w:ascii="Arial" w:hAnsi="Arial" w:cs="Arial"/>
          <w:sz w:val="20"/>
          <w:szCs w:val="20"/>
        </w:rPr>
        <w:t>, 2</w:t>
      </w:r>
      <w:r w:rsidR="00B94E31">
        <w:rPr>
          <w:rFonts w:ascii="Arial" w:hAnsi="Arial" w:cs="Arial"/>
          <w:sz w:val="20"/>
          <w:szCs w:val="20"/>
        </w:rPr>
        <w:t>9</w:t>
      </w:r>
      <w:r w:rsidR="009C4AB0">
        <w:rPr>
          <w:rFonts w:ascii="Arial" w:hAnsi="Arial" w:cs="Arial"/>
          <w:sz w:val="20"/>
          <w:szCs w:val="20"/>
        </w:rPr>
        <w:t xml:space="preserve"> (vinte e </w:t>
      </w:r>
      <w:r w:rsidR="00B94E31">
        <w:rPr>
          <w:rFonts w:ascii="Arial" w:hAnsi="Arial" w:cs="Arial"/>
          <w:sz w:val="20"/>
          <w:szCs w:val="20"/>
        </w:rPr>
        <w:t>nove</w:t>
      </w:r>
      <w:r w:rsidR="00891D53" w:rsidRPr="00187567">
        <w:rPr>
          <w:rFonts w:ascii="Arial" w:hAnsi="Arial" w:cs="Arial"/>
          <w:sz w:val="20"/>
          <w:szCs w:val="20"/>
        </w:rPr>
        <w:t>)</w:t>
      </w:r>
      <w:r w:rsidR="00DA281E">
        <w:rPr>
          <w:rFonts w:ascii="Arial" w:hAnsi="Arial" w:cs="Arial"/>
          <w:sz w:val="20"/>
          <w:szCs w:val="20"/>
        </w:rPr>
        <w:t xml:space="preserve"> </w:t>
      </w:r>
      <w:r w:rsidRPr="00187567">
        <w:rPr>
          <w:rFonts w:ascii="Arial" w:hAnsi="Arial" w:cs="Arial"/>
          <w:sz w:val="20"/>
          <w:szCs w:val="20"/>
        </w:rPr>
        <w:t>fundos de renda variável</w:t>
      </w:r>
      <w:r w:rsidR="00C82FF3">
        <w:rPr>
          <w:rFonts w:ascii="Arial" w:hAnsi="Arial" w:cs="Arial"/>
          <w:sz w:val="20"/>
          <w:szCs w:val="20"/>
        </w:rPr>
        <w:t xml:space="preserve"> </w:t>
      </w:r>
      <w:r w:rsidR="009C4AB0">
        <w:rPr>
          <w:rFonts w:ascii="Arial" w:hAnsi="Arial" w:cs="Arial"/>
          <w:sz w:val="20"/>
          <w:szCs w:val="20"/>
        </w:rPr>
        <w:t>e 0</w:t>
      </w:r>
      <w:r w:rsidR="00B94E31">
        <w:rPr>
          <w:rFonts w:ascii="Arial" w:hAnsi="Arial" w:cs="Arial"/>
          <w:sz w:val="20"/>
          <w:szCs w:val="20"/>
        </w:rPr>
        <w:t>5</w:t>
      </w:r>
      <w:r w:rsidR="009C4AB0">
        <w:rPr>
          <w:rFonts w:ascii="Arial" w:hAnsi="Arial" w:cs="Arial"/>
          <w:sz w:val="20"/>
          <w:szCs w:val="20"/>
        </w:rPr>
        <w:t xml:space="preserve"> (</w:t>
      </w:r>
      <w:r w:rsidR="00B94E31">
        <w:rPr>
          <w:rFonts w:ascii="Arial" w:hAnsi="Arial" w:cs="Arial"/>
          <w:sz w:val="20"/>
          <w:szCs w:val="20"/>
        </w:rPr>
        <w:t>cinco</w:t>
      </w:r>
      <w:r w:rsidR="009C4AB0">
        <w:rPr>
          <w:rFonts w:ascii="Arial" w:hAnsi="Arial" w:cs="Arial"/>
          <w:sz w:val="20"/>
          <w:szCs w:val="20"/>
        </w:rPr>
        <w:t xml:space="preserve">) fundos multimercado </w:t>
      </w:r>
      <w:r w:rsidRPr="00187567">
        <w:rPr>
          <w:rFonts w:ascii="Arial" w:hAnsi="Arial" w:cs="Arial"/>
          <w:sz w:val="20"/>
          <w:szCs w:val="20"/>
        </w:rPr>
        <w:t xml:space="preserve">distribuídos em </w:t>
      </w:r>
      <w:r w:rsidR="00891D53" w:rsidRPr="00187567">
        <w:rPr>
          <w:rFonts w:ascii="Arial" w:hAnsi="Arial" w:cs="Arial"/>
          <w:sz w:val="20"/>
          <w:szCs w:val="20"/>
        </w:rPr>
        <w:t>1</w:t>
      </w:r>
      <w:r w:rsidR="00B94E31">
        <w:rPr>
          <w:rFonts w:ascii="Arial" w:hAnsi="Arial" w:cs="Arial"/>
          <w:sz w:val="20"/>
          <w:szCs w:val="20"/>
        </w:rPr>
        <w:t>5</w:t>
      </w:r>
      <w:r w:rsidR="00891D53" w:rsidRPr="00187567">
        <w:rPr>
          <w:rFonts w:ascii="Arial" w:hAnsi="Arial" w:cs="Arial"/>
          <w:sz w:val="20"/>
          <w:szCs w:val="20"/>
        </w:rPr>
        <w:t xml:space="preserve"> (qu</w:t>
      </w:r>
      <w:r w:rsidR="00B94E31">
        <w:rPr>
          <w:rFonts w:ascii="Arial" w:hAnsi="Arial" w:cs="Arial"/>
          <w:sz w:val="20"/>
          <w:szCs w:val="20"/>
        </w:rPr>
        <w:t>inze</w:t>
      </w:r>
      <w:r w:rsidR="00891D53" w:rsidRPr="00187567">
        <w:rPr>
          <w:rFonts w:ascii="Arial" w:hAnsi="Arial" w:cs="Arial"/>
          <w:sz w:val="20"/>
          <w:szCs w:val="20"/>
        </w:rPr>
        <w:t xml:space="preserve">) </w:t>
      </w:r>
      <w:r w:rsidRPr="00187567">
        <w:rPr>
          <w:rFonts w:ascii="Arial" w:hAnsi="Arial" w:cs="Arial"/>
          <w:sz w:val="20"/>
          <w:szCs w:val="20"/>
        </w:rPr>
        <w:t>instituições financeiras.</w:t>
      </w:r>
    </w:p>
    <w:p w:rsidR="00713C55" w:rsidRPr="00D64BCE" w:rsidRDefault="00D64BCE" w:rsidP="00D64BCE">
      <w:pPr>
        <w:autoSpaceDE w:val="0"/>
        <w:autoSpaceDN w:val="0"/>
        <w:adjustRightInd w:val="0"/>
        <w:spacing w:after="120"/>
        <w:rPr>
          <w:rFonts w:ascii="Arial" w:hAnsi="Arial" w:cs="Arial"/>
          <w:b/>
          <w:bCs/>
          <w:smallCaps/>
          <w:sz w:val="20"/>
          <w:szCs w:val="20"/>
        </w:rPr>
      </w:pPr>
      <w:r w:rsidRPr="00D64BCE">
        <w:rPr>
          <w:rFonts w:ascii="Arial" w:hAnsi="Arial" w:cs="Arial"/>
          <w:b/>
          <w:bCs/>
          <w:smallCaps/>
          <w:sz w:val="20"/>
          <w:szCs w:val="20"/>
        </w:rPr>
        <w:t>6.4. INFLAÇÃO E TAXA DE JUROS</w:t>
      </w:r>
    </w:p>
    <w:p w:rsidR="00A50544" w:rsidRPr="00187567" w:rsidRDefault="00A50544" w:rsidP="00D64BCE">
      <w:pPr>
        <w:autoSpaceDE w:val="0"/>
        <w:autoSpaceDN w:val="0"/>
        <w:adjustRightInd w:val="0"/>
        <w:spacing w:after="120" w:line="312" w:lineRule="auto"/>
        <w:ind w:firstLine="1418"/>
        <w:jc w:val="both"/>
        <w:rPr>
          <w:rFonts w:ascii="Arial" w:hAnsi="Arial" w:cs="Arial"/>
          <w:sz w:val="20"/>
          <w:szCs w:val="20"/>
        </w:rPr>
      </w:pPr>
      <w:r w:rsidRPr="00187567">
        <w:rPr>
          <w:rFonts w:ascii="Arial" w:hAnsi="Arial" w:cs="Arial"/>
          <w:sz w:val="20"/>
          <w:szCs w:val="20"/>
        </w:rPr>
        <w:t xml:space="preserve">O IPCA acumulado </w:t>
      </w:r>
      <w:r w:rsidR="002A7D35">
        <w:rPr>
          <w:rFonts w:ascii="Arial" w:hAnsi="Arial" w:cs="Arial"/>
          <w:sz w:val="20"/>
          <w:szCs w:val="20"/>
        </w:rPr>
        <w:t>no ano de 201</w:t>
      </w:r>
      <w:r w:rsidR="007E7DD7">
        <w:rPr>
          <w:rFonts w:ascii="Arial" w:hAnsi="Arial" w:cs="Arial"/>
          <w:sz w:val="20"/>
          <w:szCs w:val="20"/>
        </w:rPr>
        <w:t>4</w:t>
      </w:r>
      <w:r w:rsidR="002A7D35">
        <w:rPr>
          <w:rFonts w:ascii="Arial" w:hAnsi="Arial" w:cs="Arial"/>
          <w:sz w:val="20"/>
          <w:szCs w:val="20"/>
        </w:rPr>
        <w:t xml:space="preserve">, </w:t>
      </w:r>
      <w:r w:rsidRPr="00187567">
        <w:rPr>
          <w:rFonts w:ascii="Arial" w:hAnsi="Arial" w:cs="Arial"/>
          <w:sz w:val="20"/>
          <w:szCs w:val="20"/>
        </w:rPr>
        <w:t xml:space="preserve">até </w:t>
      </w:r>
      <w:r w:rsidR="002A7D35">
        <w:rPr>
          <w:rFonts w:ascii="Arial" w:hAnsi="Arial" w:cs="Arial"/>
          <w:sz w:val="20"/>
          <w:szCs w:val="20"/>
        </w:rPr>
        <w:t>novembro</w:t>
      </w:r>
      <w:r w:rsidRPr="00187567">
        <w:rPr>
          <w:rFonts w:ascii="Arial" w:hAnsi="Arial" w:cs="Arial"/>
          <w:sz w:val="20"/>
          <w:szCs w:val="20"/>
        </w:rPr>
        <w:t>/</w:t>
      </w:r>
      <w:r w:rsidRPr="009C5A0A">
        <w:rPr>
          <w:rFonts w:ascii="Arial" w:hAnsi="Arial" w:cs="Arial"/>
          <w:sz w:val="20"/>
          <w:szCs w:val="20"/>
        </w:rPr>
        <w:t>201</w:t>
      </w:r>
      <w:r w:rsidR="007E7DD7">
        <w:rPr>
          <w:rFonts w:ascii="Arial" w:hAnsi="Arial" w:cs="Arial"/>
          <w:sz w:val="20"/>
          <w:szCs w:val="20"/>
        </w:rPr>
        <w:t>4</w:t>
      </w:r>
      <w:r w:rsidR="002A7D35" w:rsidRPr="009C5A0A">
        <w:rPr>
          <w:rFonts w:ascii="Arial" w:hAnsi="Arial" w:cs="Arial"/>
          <w:sz w:val="20"/>
          <w:szCs w:val="20"/>
        </w:rPr>
        <w:t>,</w:t>
      </w:r>
      <w:r w:rsidRPr="009C5A0A">
        <w:rPr>
          <w:rFonts w:ascii="Arial" w:hAnsi="Arial" w:cs="Arial"/>
          <w:sz w:val="20"/>
          <w:szCs w:val="20"/>
        </w:rPr>
        <w:t xml:space="preserve"> ficou em </w:t>
      </w:r>
      <w:r w:rsidR="009965EC">
        <w:rPr>
          <w:rFonts w:ascii="Arial" w:hAnsi="Arial" w:cs="Arial"/>
          <w:sz w:val="20"/>
          <w:szCs w:val="20"/>
        </w:rPr>
        <w:t>5,58</w:t>
      </w:r>
      <w:r w:rsidRPr="009C5A0A">
        <w:rPr>
          <w:rFonts w:ascii="Arial" w:hAnsi="Arial" w:cs="Arial"/>
          <w:sz w:val="20"/>
          <w:szCs w:val="20"/>
        </w:rPr>
        <w:t>% (</w:t>
      </w:r>
      <w:r w:rsidR="009965EC">
        <w:rPr>
          <w:rFonts w:ascii="Arial" w:hAnsi="Arial" w:cs="Arial"/>
          <w:sz w:val="20"/>
          <w:szCs w:val="20"/>
        </w:rPr>
        <w:t>cinc</w:t>
      </w:r>
      <w:r w:rsidR="00DA281E">
        <w:rPr>
          <w:rFonts w:ascii="Arial" w:hAnsi="Arial" w:cs="Arial"/>
          <w:sz w:val="20"/>
          <w:szCs w:val="20"/>
        </w:rPr>
        <w:t xml:space="preserve">o </w:t>
      </w:r>
      <w:r w:rsidRPr="009C5A0A">
        <w:rPr>
          <w:rFonts w:ascii="Arial" w:hAnsi="Arial" w:cs="Arial"/>
          <w:sz w:val="20"/>
          <w:szCs w:val="20"/>
        </w:rPr>
        <w:t xml:space="preserve">vírgula </w:t>
      </w:r>
      <w:r w:rsidR="009965EC">
        <w:rPr>
          <w:rFonts w:ascii="Arial" w:hAnsi="Arial" w:cs="Arial"/>
          <w:sz w:val="20"/>
          <w:szCs w:val="20"/>
        </w:rPr>
        <w:t>cinquenta e oito</w:t>
      </w:r>
      <w:r w:rsidRPr="009C5A0A">
        <w:rPr>
          <w:rFonts w:ascii="Arial" w:hAnsi="Arial" w:cs="Arial"/>
          <w:sz w:val="20"/>
          <w:szCs w:val="20"/>
        </w:rPr>
        <w:t xml:space="preserve"> por cento), </w:t>
      </w:r>
      <w:r w:rsidR="002A7D35" w:rsidRPr="009C5A0A">
        <w:rPr>
          <w:rFonts w:ascii="Arial" w:hAnsi="Arial" w:cs="Arial"/>
          <w:sz w:val="20"/>
          <w:szCs w:val="20"/>
        </w:rPr>
        <w:t xml:space="preserve">e em doze meses em </w:t>
      </w:r>
      <w:r w:rsidR="009965EC">
        <w:rPr>
          <w:rFonts w:ascii="Arial" w:hAnsi="Arial" w:cs="Arial"/>
          <w:sz w:val="20"/>
          <w:szCs w:val="20"/>
        </w:rPr>
        <w:t>6</w:t>
      </w:r>
      <w:r w:rsidR="002A7D35" w:rsidRPr="009C5A0A">
        <w:rPr>
          <w:rFonts w:ascii="Arial" w:hAnsi="Arial" w:cs="Arial"/>
          <w:sz w:val="20"/>
          <w:szCs w:val="20"/>
        </w:rPr>
        <w:t>,5</w:t>
      </w:r>
      <w:r w:rsidR="009965EC">
        <w:rPr>
          <w:rFonts w:ascii="Arial" w:hAnsi="Arial" w:cs="Arial"/>
          <w:sz w:val="20"/>
          <w:szCs w:val="20"/>
        </w:rPr>
        <w:t>6</w:t>
      </w:r>
      <w:r w:rsidR="00EF4A5A" w:rsidRPr="009C5A0A">
        <w:rPr>
          <w:rFonts w:ascii="Arial" w:hAnsi="Arial" w:cs="Arial"/>
          <w:sz w:val="20"/>
          <w:szCs w:val="20"/>
        </w:rPr>
        <w:t>%</w:t>
      </w:r>
      <w:r w:rsidR="002A7D35" w:rsidRPr="009C5A0A">
        <w:rPr>
          <w:rFonts w:ascii="Arial" w:hAnsi="Arial" w:cs="Arial"/>
          <w:sz w:val="20"/>
          <w:szCs w:val="20"/>
        </w:rPr>
        <w:t xml:space="preserve"> (</w:t>
      </w:r>
      <w:r w:rsidR="009965EC">
        <w:rPr>
          <w:rFonts w:ascii="Arial" w:hAnsi="Arial" w:cs="Arial"/>
          <w:sz w:val="20"/>
          <w:szCs w:val="20"/>
        </w:rPr>
        <w:t>seis</w:t>
      </w:r>
      <w:r w:rsidR="002A7D35" w:rsidRPr="009C5A0A">
        <w:rPr>
          <w:rFonts w:ascii="Arial" w:hAnsi="Arial" w:cs="Arial"/>
          <w:sz w:val="20"/>
          <w:szCs w:val="20"/>
        </w:rPr>
        <w:t xml:space="preserve"> </w:t>
      </w:r>
      <w:r w:rsidR="00DA281E" w:rsidRPr="009C5A0A">
        <w:rPr>
          <w:rFonts w:ascii="Arial" w:hAnsi="Arial" w:cs="Arial"/>
          <w:sz w:val="20"/>
          <w:szCs w:val="20"/>
        </w:rPr>
        <w:t>vírgula</w:t>
      </w:r>
      <w:r w:rsidR="00C82FF3">
        <w:rPr>
          <w:rFonts w:ascii="Arial" w:hAnsi="Arial" w:cs="Arial"/>
          <w:sz w:val="20"/>
          <w:szCs w:val="20"/>
        </w:rPr>
        <w:t xml:space="preserve"> </w:t>
      </w:r>
      <w:r w:rsidR="009965EC">
        <w:rPr>
          <w:rFonts w:ascii="Arial" w:hAnsi="Arial" w:cs="Arial"/>
          <w:sz w:val="20"/>
          <w:szCs w:val="20"/>
        </w:rPr>
        <w:t>cinquenta</w:t>
      </w:r>
      <w:r w:rsidR="002A7D35">
        <w:rPr>
          <w:rFonts w:ascii="Arial" w:hAnsi="Arial" w:cs="Arial"/>
          <w:sz w:val="20"/>
          <w:szCs w:val="20"/>
        </w:rPr>
        <w:t xml:space="preserve"> e se</w:t>
      </w:r>
      <w:r w:rsidR="009965EC">
        <w:rPr>
          <w:rFonts w:ascii="Arial" w:hAnsi="Arial" w:cs="Arial"/>
          <w:sz w:val="20"/>
          <w:szCs w:val="20"/>
        </w:rPr>
        <w:t>is</w:t>
      </w:r>
      <w:r w:rsidR="002A7D35">
        <w:rPr>
          <w:rFonts w:ascii="Arial" w:hAnsi="Arial" w:cs="Arial"/>
          <w:sz w:val="20"/>
          <w:szCs w:val="20"/>
        </w:rPr>
        <w:t xml:space="preserve"> por cento) </w:t>
      </w:r>
      <w:r w:rsidRPr="00187567">
        <w:rPr>
          <w:rFonts w:ascii="Arial" w:hAnsi="Arial" w:cs="Arial"/>
          <w:sz w:val="20"/>
          <w:szCs w:val="20"/>
        </w:rPr>
        <w:t xml:space="preserve">estando </w:t>
      </w:r>
      <w:r w:rsidR="002A7D35">
        <w:rPr>
          <w:rFonts w:ascii="Arial" w:hAnsi="Arial" w:cs="Arial"/>
          <w:sz w:val="20"/>
          <w:szCs w:val="20"/>
        </w:rPr>
        <w:t>acima</w:t>
      </w:r>
      <w:r w:rsidRPr="00187567">
        <w:rPr>
          <w:rFonts w:ascii="Arial" w:hAnsi="Arial" w:cs="Arial"/>
          <w:sz w:val="20"/>
          <w:szCs w:val="20"/>
        </w:rPr>
        <w:t xml:space="preserve"> da meta </w:t>
      </w:r>
      <w:r w:rsidR="009965EC">
        <w:rPr>
          <w:rFonts w:ascii="Arial" w:hAnsi="Arial" w:cs="Arial"/>
          <w:sz w:val="20"/>
          <w:szCs w:val="20"/>
        </w:rPr>
        <w:t xml:space="preserve">central </w:t>
      </w:r>
      <w:r w:rsidRPr="00187567">
        <w:rPr>
          <w:rFonts w:ascii="Arial" w:hAnsi="Arial" w:cs="Arial"/>
          <w:sz w:val="20"/>
          <w:szCs w:val="20"/>
        </w:rPr>
        <w:t>inflacionária de 4,5% (quatro vírgula cinco por cento)</w:t>
      </w:r>
      <w:r w:rsidR="009965EC">
        <w:rPr>
          <w:rFonts w:ascii="Arial" w:hAnsi="Arial" w:cs="Arial"/>
          <w:sz w:val="20"/>
          <w:szCs w:val="20"/>
        </w:rPr>
        <w:t xml:space="preserve"> e aci</w:t>
      </w:r>
      <w:r w:rsidR="00EB7BB9">
        <w:rPr>
          <w:rFonts w:ascii="Arial" w:hAnsi="Arial" w:cs="Arial"/>
          <w:sz w:val="20"/>
          <w:szCs w:val="20"/>
        </w:rPr>
        <w:t xml:space="preserve">ma do teto da meta de 6,5% (seis </w:t>
      </w:r>
      <w:r w:rsidR="00104A67">
        <w:rPr>
          <w:rFonts w:ascii="Arial" w:hAnsi="Arial" w:cs="Arial"/>
          <w:sz w:val="20"/>
          <w:szCs w:val="20"/>
        </w:rPr>
        <w:t>vírgula</w:t>
      </w:r>
      <w:r w:rsidR="00EB7BB9">
        <w:rPr>
          <w:rFonts w:ascii="Arial" w:hAnsi="Arial" w:cs="Arial"/>
          <w:sz w:val="20"/>
          <w:szCs w:val="20"/>
        </w:rPr>
        <w:t xml:space="preserve"> cinquenta por cento), pro</w:t>
      </w:r>
      <w:r w:rsidRPr="00187567">
        <w:rPr>
          <w:rFonts w:ascii="Arial" w:hAnsi="Arial" w:cs="Arial"/>
          <w:sz w:val="20"/>
          <w:szCs w:val="20"/>
        </w:rPr>
        <w:t>jetada pelo Banco Central do Brasil.</w:t>
      </w:r>
    </w:p>
    <w:p w:rsidR="00A50544" w:rsidRPr="009C5A0A" w:rsidRDefault="00A50544" w:rsidP="00D64BCE">
      <w:pPr>
        <w:autoSpaceDE w:val="0"/>
        <w:autoSpaceDN w:val="0"/>
        <w:adjustRightInd w:val="0"/>
        <w:spacing w:after="120" w:line="312" w:lineRule="auto"/>
        <w:ind w:firstLine="1418"/>
        <w:jc w:val="both"/>
        <w:rPr>
          <w:rFonts w:ascii="Arial" w:hAnsi="Arial" w:cs="Arial"/>
          <w:sz w:val="20"/>
          <w:szCs w:val="20"/>
        </w:rPr>
      </w:pPr>
      <w:r w:rsidRPr="009C5A0A">
        <w:rPr>
          <w:rFonts w:ascii="Arial" w:hAnsi="Arial" w:cs="Arial"/>
          <w:sz w:val="20"/>
          <w:szCs w:val="20"/>
        </w:rPr>
        <w:t>Conforme expectativa do Banco Central</w:t>
      </w:r>
      <w:r w:rsidR="008E4B9F">
        <w:rPr>
          <w:rFonts w:ascii="Arial" w:hAnsi="Arial" w:cs="Arial"/>
          <w:sz w:val="20"/>
          <w:szCs w:val="20"/>
        </w:rPr>
        <w:t>,</w:t>
      </w:r>
      <w:r w:rsidRPr="009C5A0A">
        <w:rPr>
          <w:rFonts w:ascii="Arial" w:hAnsi="Arial" w:cs="Arial"/>
          <w:sz w:val="20"/>
          <w:szCs w:val="20"/>
        </w:rPr>
        <w:t xml:space="preserve"> a inflação para 201</w:t>
      </w:r>
      <w:r w:rsidR="00EB7BB9">
        <w:rPr>
          <w:rFonts w:ascii="Arial" w:hAnsi="Arial" w:cs="Arial"/>
          <w:sz w:val="20"/>
          <w:szCs w:val="20"/>
        </w:rPr>
        <w:t>4</w:t>
      </w:r>
      <w:r w:rsidRPr="009C5A0A">
        <w:rPr>
          <w:rFonts w:ascii="Arial" w:hAnsi="Arial" w:cs="Arial"/>
          <w:sz w:val="20"/>
          <w:szCs w:val="20"/>
        </w:rPr>
        <w:t xml:space="preserve"> fecha</w:t>
      </w:r>
      <w:r w:rsidR="008E4B9F">
        <w:rPr>
          <w:rFonts w:ascii="Arial" w:hAnsi="Arial" w:cs="Arial"/>
          <w:sz w:val="20"/>
          <w:szCs w:val="20"/>
        </w:rPr>
        <w:t>rá</w:t>
      </w:r>
      <w:r w:rsidRPr="009C5A0A">
        <w:rPr>
          <w:rFonts w:ascii="Arial" w:hAnsi="Arial" w:cs="Arial"/>
          <w:sz w:val="20"/>
          <w:szCs w:val="20"/>
        </w:rPr>
        <w:t xml:space="preserve"> em </w:t>
      </w:r>
      <w:r w:rsidR="00EB7BB9">
        <w:rPr>
          <w:rFonts w:ascii="Arial" w:hAnsi="Arial" w:cs="Arial"/>
          <w:sz w:val="20"/>
          <w:szCs w:val="20"/>
        </w:rPr>
        <w:t>6,38</w:t>
      </w:r>
      <w:r w:rsidRPr="009C5A0A">
        <w:rPr>
          <w:rFonts w:ascii="Arial" w:hAnsi="Arial" w:cs="Arial"/>
          <w:sz w:val="20"/>
          <w:szCs w:val="20"/>
        </w:rPr>
        <w:t>% (</w:t>
      </w:r>
      <w:r w:rsidR="00EB7BB9">
        <w:rPr>
          <w:rFonts w:ascii="Arial" w:hAnsi="Arial" w:cs="Arial"/>
          <w:sz w:val="20"/>
          <w:szCs w:val="20"/>
        </w:rPr>
        <w:t>seis</w:t>
      </w:r>
      <w:r w:rsidRPr="009C5A0A">
        <w:rPr>
          <w:rFonts w:ascii="Arial" w:hAnsi="Arial" w:cs="Arial"/>
          <w:sz w:val="20"/>
          <w:szCs w:val="20"/>
        </w:rPr>
        <w:t xml:space="preserve"> vírgula </w:t>
      </w:r>
      <w:r w:rsidR="00EB7BB9">
        <w:rPr>
          <w:rFonts w:ascii="Arial" w:hAnsi="Arial" w:cs="Arial"/>
          <w:sz w:val="20"/>
          <w:szCs w:val="20"/>
        </w:rPr>
        <w:t>trinta e oito</w:t>
      </w:r>
      <w:r w:rsidRPr="009C5A0A">
        <w:rPr>
          <w:rFonts w:ascii="Arial" w:hAnsi="Arial" w:cs="Arial"/>
          <w:sz w:val="20"/>
          <w:szCs w:val="20"/>
        </w:rPr>
        <w:t xml:space="preserve"> por cento), ou seja, </w:t>
      </w:r>
      <w:r w:rsidR="002A7D35" w:rsidRPr="009C5A0A">
        <w:rPr>
          <w:rFonts w:ascii="Arial" w:hAnsi="Arial" w:cs="Arial"/>
          <w:sz w:val="20"/>
          <w:szCs w:val="20"/>
        </w:rPr>
        <w:t xml:space="preserve">acima </w:t>
      </w:r>
      <w:r w:rsidRPr="009C5A0A">
        <w:rPr>
          <w:rFonts w:ascii="Arial" w:hAnsi="Arial" w:cs="Arial"/>
          <w:sz w:val="20"/>
          <w:szCs w:val="20"/>
        </w:rPr>
        <w:t>do centro da meta.</w:t>
      </w:r>
    </w:p>
    <w:p w:rsidR="00A50544" w:rsidRPr="009C5A0A" w:rsidRDefault="00A50544" w:rsidP="00D64BCE">
      <w:pPr>
        <w:autoSpaceDE w:val="0"/>
        <w:autoSpaceDN w:val="0"/>
        <w:adjustRightInd w:val="0"/>
        <w:spacing w:after="120" w:line="312" w:lineRule="auto"/>
        <w:ind w:firstLine="1418"/>
        <w:jc w:val="both"/>
        <w:rPr>
          <w:rFonts w:ascii="Arial" w:hAnsi="Arial" w:cs="Arial"/>
          <w:sz w:val="20"/>
          <w:szCs w:val="20"/>
        </w:rPr>
      </w:pPr>
      <w:r w:rsidRPr="009C5A0A">
        <w:rPr>
          <w:rFonts w:ascii="Arial" w:hAnsi="Arial" w:cs="Arial"/>
          <w:sz w:val="20"/>
          <w:szCs w:val="20"/>
        </w:rPr>
        <w:t>Para 201</w:t>
      </w:r>
      <w:r w:rsidR="00EB7BB9">
        <w:rPr>
          <w:rFonts w:ascii="Arial" w:hAnsi="Arial" w:cs="Arial"/>
          <w:sz w:val="20"/>
          <w:szCs w:val="20"/>
        </w:rPr>
        <w:t>5</w:t>
      </w:r>
      <w:r w:rsidRPr="009C5A0A">
        <w:rPr>
          <w:rFonts w:ascii="Arial" w:hAnsi="Arial" w:cs="Arial"/>
          <w:sz w:val="20"/>
          <w:szCs w:val="20"/>
        </w:rPr>
        <w:t xml:space="preserve">, o IPCA projetado é de </w:t>
      </w:r>
      <w:r w:rsidR="00EB7BB9">
        <w:rPr>
          <w:rFonts w:ascii="Arial" w:hAnsi="Arial" w:cs="Arial"/>
          <w:sz w:val="20"/>
          <w:szCs w:val="20"/>
        </w:rPr>
        <w:t>6,50</w:t>
      </w:r>
      <w:r w:rsidR="002A7D35" w:rsidRPr="009C5A0A">
        <w:rPr>
          <w:rFonts w:ascii="Arial" w:hAnsi="Arial" w:cs="Arial"/>
          <w:sz w:val="20"/>
          <w:szCs w:val="20"/>
        </w:rPr>
        <w:t>% (</w:t>
      </w:r>
      <w:r w:rsidR="00EB7BB9">
        <w:rPr>
          <w:rFonts w:ascii="Arial" w:hAnsi="Arial" w:cs="Arial"/>
          <w:sz w:val="20"/>
          <w:szCs w:val="20"/>
        </w:rPr>
        <w:t>seis</w:t>
      </w:r>
      <w:r w:rsidR="002A7D35" w:rsidRPr="009C5A0A">
        <w:rPr>
          <w:rFonts w:ascii="Arial" w:hAnsi="Arial" w:cs="Arial"/>
          <w:sz w:val="20"/>
          <w:szCs w:val="20"/>
        </w:rPr>
        <w:t xml:space="preserve"> vírgula </w:t>
      </w:r>
      <w:r w:rsidR="00895FF5">
        <w:rPr>
          <w:rFonts w:ascii="Arial" w:hAnsi="Arial" w:cs="Arial"/>
          <w:sz w:val="20"/>
          <w:szCs w:val="20"/>
        </w:rPr>
        <w:t>cinqüenta</w:t>
      </w:r>
      <w:r w:rsidR="00EB7BB9">
        <w:rPr>
          <w:rFonts w:ascii="Arial" w:hAnsi="Arial" w:cs="Arial"/>
          <w:sz w:val="20"/>
          <w:szCs w:val="20"/>
        </w:rPr>
        <w:t xml:space="preserve"> </w:t>
      </w:r>
      <w:r w:rsidR="002A7D35" w:rsidRPr="009C5A0A">
        <w:rPr>
          <w:rFonts w:ascii="Arial" w:hAnsi="Arial" w:cs="Arial"/>
          <w:sz w:val="20"/>
          <w:szCs w:val="20"/>
        </w:rPr>
        <w:t>por cento)</w:t>
      </w:r>
      <w:r w:rsidRPr="009C5A0A">
        <w:rPr>
          <w:rFonts w:ascii="Arial" w:hAnsi="Arial" w:cs="Arial"/>
          <w:sz w:val="20"/>
          <w:szCs w:val="20"/>
        </w:rPr>
        <w:t xml:space="preserve">, conforme relatório de mercado Focus do Banco Central do Brasil – BACEN, de </w:t>
      </w:r>
      <w:r w:rsidR="002A7D35" w:rsidRPr="009C5A0A">
        <w:rPr>
          <w:rFonts w:ascii="Arial" w:hAnsi="Arial" w:cs="Arial"/>
          <w:sz w:val="20"/>
          <w:szCs w:val="20"/>
        </w:rPr>
        <w:t>0</w:t>
      </w:r>
      <w:r w:rsidR="00EB7BB9">
        <w:rPr>
          <w:rFonts w:ascii="Arial" w:hAnsi="Arial" w:cs="Arial"/>
          <w:sz w:val="20"/>
          <w:szCs w:val="20"/>
        </w:rPr>
        <w:t>5</w:t>
      </w:r>
      <w:r w:rsidRPr="009C5A0A">
        <w:rPr>
          <w:rFonts w:ascii="Arial" w:hAnsi="Arial" w:cs="Arial"/>
          <w:sz w:val="20"/>
          <w:szCs w:val="20"/>
        </w:rPr>
        <w:t xml:space="preserve"> de dezembro de 201</w:t>
      </w:r>
      <w:r w:rsidR="00EB7BB9">
        <w:rPr>
          <w:rFonts w:ascii="Arial" w:hAnsi="Arial" w:cs="Arial"/>
          <w:sz w:val="20"/>
          <w:szCs w:val="20"/>
        </w:rPr>
        <w:t>4</w:t>
      </w:r>
      <w:r w:rsidRPr="009C5A0A">
        <w:rPr>
          <w:rFonts w:ascii="Arial" w:hAnsi="Arial" w:cs="Arial"/>
          <w:sz w:val="20"/>
          <w:szCs w:val="20"/>
        </w:rPr>
        <w:t>.</w:t>
      </w:r>
    </w:p>
    <w:p w:rsidR="009D63B4" w:rsidRPr="009C5A0A" w:rsidRDefault="00713C55" w:rsidP="009D63B4">
      <w:pPr>
        <w:autoSpaceDE w:val="0"/>
        <w:autoSpaceDN w:val="0"/>
        <w:adjustRightInd w:val="0"/>
        <w:spacing w:after="120" w:line="312" w:lineRule="auto"/>
        <w:ind w:firstLine="1418"/>
        <w:jc w:val="both"/>
        <w:rPr>
          <w:rFonts w:ascii="Arial" w:hAnsi="Arial" w:cs="Arial"/>
          <w:sz w:val="20"/>
          <w:szCs w:val="20"/>
        </w:rPr>
      </w:pPr>
      <w:r w:rsidRPr="009C5A0A">
        <w:rPr>
          <w:rFonts w:ascii="Arial" w:hAnsi="Arial" w:cs="Arial"/>
          <w:sz w:val="20"/>
          <w:szCs w:val="20"/>
        </w:rPr>
        <w:t xml:space="preserve">O Banco Central </w:t>
      </w:r>
      <w:r w:rsidR="008837A2" w:rsidRPr="009C5A0A">
        <w:rPr>
          <w:rFonts w:ascii="Arial" w:hAnsi="Arial" w:cs="Arial"/>
          <w:sz w:val="20"/>
          <w:szCs w:val="20"/>
        </w:rPr>
        <w:t xml:space="preserve">do Brasil, </w:t>
      </w:r>
      <w:r w:rsidRPr="009C5A0A">
        <w:rPr>
          <w:rFonts w:ascii="Arial" w:hAnsi="Arial" w:cs="Arial"/>
          <w:sz w:val="20"/>
          <w:szCs w:val="20"/>
        </w:rPr>
        <w:t>no ano de 201</w:t>
      </w:r>
      <w:r w:rsidR="00EB7BB9">
        <w:rPr>
          <w:rFonts w:ascii="Arial" w:hAnsi="Arial" w:cs="Arial"/>
          <w:sz w:val="20"/>
          <w:szCs w:val="20"/>
        </w:rPr>
        <w:t>4</w:t>
      </w:r>
      <w:r w:rsidR="009D1300" w:rsidRPr="009C5A0A">
        <w:rPr>
          <w:rFonts w:ascii="Arial" w:hAnsi="Arial" w:cs="Arial"/>
          <w:sz w:val="20"/>
          <w:szCs w:val="20"/>
        </w:rPr>
        <w:t>, através do COPOM, efetivou</w:t>
      </w:r>
      <w:r w:rsidR="00895FF5">
        <w:rPr>
          <w:rFonts w:ascii="Arial" w:hAnsi="Arial" w:cs="Arial"/>
          <w:sz w:val="20"/>
          <w:szCs w:val="20"/>
        </w:rPr>
        <w:t xml:space="preserve"> </w:t>
      </w:r>
      <w:r w:rsidR="00EB7BB9">
        <w:rPr>
          <w:rFonts w:ascii="Arial" w:hAnsi="Arial" w:cs="Arial"/>
          <w:sz w:val="20"/>
          <w:szCs w:val="20"/>
        </w:rPr>
        <w:t>cinco</w:t>
      </w:r>
      <w:r w:rsidR="009C5A0A" w:rsidRPr="009C5A0A">
        <w:rPr>
          <w:rFonts w:ascii="Arial" w:hAnsi="Arial" w:cs="Arial"/>
          <w:sz w:val="20"/>
          <w:szCs w:val="20"/>
        </w:rPr>
        <w:t xml:space="preserve"> aumentos</w:t>
      </w:r>
      <w:r w:rsidR="00895FF5">
        <w:rPr>
          <w:rFonts w:ascii="Arial" w:hAnsi="Arial" w:cs="Arial"/>
          <w:sz w:val="20"/>
          <w:szCs w:val="20"/>
        </w:rPr>
        <w:t xml:space="preserve"> </w:t>
      </w:r>
      <w:r w:rsidR="00CB7610" w:rsidRPr="009C5A0A">
        <w:rPr>
          <w:rFonts w:ascii="Arial" w:hAnsi="Arial" w:cs="Arial"/>
          <w:sz w:val="20"/>
          <w:szCs w:val="20"/>
        </w:rPr>
        <w:t xml:space="preserve">até a última reunião de </w:t>
      </w:r>
      <w:r w:rsidR="00EB7BB9">
        <w:rPr>
          <w:rFonts w:ascii="Arial" w:hAnsi="Arial" w:cs="Arial"/>
          <w:sz w:val="20"/>
          <w:szCs w:val="20"/>
        </w:rPr>
        <w:t>03</w:t>
      </w:r>
      <w:r w:rsidR="00CB7610" w:rsidRPr="009C5A0A">
        <w:rPr>
          <w:rFonts w:ascii="Arial" w:hAnsi="Arial" w:cs="Arial"/>
          <w:sz w:val="20"/>
          <w:szCs w:val="20"/>
        </w:rPr>
        <w:t>/1</w:t>
      </w:r>
      <w:r w:rsidR="00EB7BB9">
        <w:rPr>
          <w:rFonts w:ascii="Arial" w:hAnsi="Arial" w:cs="Arial"/>
          <w:sz w:val="20"/>
          <w:szCs w:val="20"/>
        </w:rPr>
        <w:t>2</w:t>
      </w:r>
      <w:r w:rsidR="00CB7610" w:rsidRPr="009C5A0A">
        <w:rPr>
          <w:rFonts w:ascii="Arial" w:hAnsi="Arial" w:cs="Arial"/>
          <w:sz w:val="20"/>
          <w:szCs w:val="20"/>
        </w:rPr>
        <w:t>/201</w:t>
      </w:r>
      <w:r w:rsidR="00EB7BB9">
        <w:rPr>
          <w:rFonts w:ascii="Arial" w:hAnsi="Arial" w:cs="Arial"/>
          <w:sz w:val="20"/>
          <w:szCs w:val="20"/>
        </w:rPr>
        <w:t>4</w:t>
      </w:r>
      <w:r w:rsidRPr="009C5A0A">
        <w:rPr>
          <w:rFonts w:ascii="Arial" w:hAnsi="Arial" w:cs="Arial"/>
          <w:sz w:val="20"/>
          <w:szCs w:val="20"/>
        </w:rPr>
        <w:t xml:space="preserve">, fechando o ano em </w:t>
      </w:r>
      <w:r w:rsidR="00D40AE2" w:rsidRPr="009C5A0A">
        <w:rPr>
          <w:rFonts w:ascii="Arial" w:hAnsi="Arial" w:cs="Arial"/>
          <w:sz w:val="20"/>
          <w:szCs w:val="20"/>
        </w:rPr>
        <w:t>1</w:t>
      </w:r>
      <w:r w:rsidR="00EB7BB9">
        <w:rPr>
          <w:rFonts w:ascii="Arial" w:hAnsi="Arial" w:cs="Arial"/>
          <w:sz w:val="20"/>
          <w:szCs w:val="20"/>
        </w:rPr>
        <w:t>1,75</w:t>
      </w:r>
      <w:r w:rsidR="00145B94">
        <w:rPr>
          <w:rFonts w:ascii="Arial" w:hAnsi="Arial" w:cs="Arial"/>
          <w:sz w:val="20"/>
          <w:szCs w:val="20"/>
        </w:rPr>
        <w:t>%</w:t>
      </w:r>
      <w:r w:rsidR="006656DE" w:rsidRPr="009C5A0A">
        <w:rPr>
          <w:rFonts w:ascii="Arial" w:hAnsi="Arial" w:cs="Arial"/>
          <w:sz w:val="20"/>
          <w:szCs w:val="20"/>
        </w:rPr>
        <w:t xml:space="preserve"> (</w:t>
      </w:r>
      <w:r w:rsidR="00EB7BB9">
        <w:rPr>
          <w:rFonts w:ascii="Arial" w:hAnsi="Arial" w:cs="Arial"/>
          <w:sz w:val="20"/>
          <w:szCs w:val="20"/>
        </w:rPr>
        <w:t xml:space="preserve">onze </w:t>
      </w:r>
      <w:r w:rsidR="00104A67">
        <w:rPr>
          <w:rFonts w:ascii="Arial" w:hAnsi="Arial" w:cs="Arial"/>
          <w:sz w:val="20"/>
          <w:szCs w:val="20"/>
        </w:rPr>
        <w:t>vírgula</w:t>
      </w:r>
      <w:r w:rsidR="00EB7BB9">
        <w:rPr>
          <w:rFonts w:ascii="Arial" w:hAnsi="Arial" w:cs="Arial"/>
          <w:sz w:val="20"/>
          <w:szCs w:val="20"/>
        </w:rPr>
        <w:t xml:space="preserve"> setenta e cinco </w:t>
      </w:r>
      <w:r w:rsidR="00D40AE2" w:rsidRPr="009C5A0A">
        <w:rPr>
          <w:rFonts w:ascii="Arial" w:hAnsi="Arial" w:cs="Arial"/>
          <w:sz w:val="20"/>
          <w:szCs w:val="20"/>
        </w:rPr>
        <w:t>por cento</w:t>
      </w:r>
      <w:r w:rsidR="006656DE" w:rsidRPr="009C5A0A">
        <w:rPr>
          <w:rFonts w:ascii="Arial" w:hAnsi="Arial" w:cs="Arial"/>
          <w:sz w:val="20"/>
          <w:szCs w:val="20"/>
        </w:rPr>
        <w:t>)</w:t>
      </w:r>
      <w:r w:rsidR="00187567" w:rsidRPr="009C5A0A">
        <w:rPr>
          <w:rFonts w:ascii="Arial" w:hAnsi="Arial" w:cs="Arial"/>
          <w:sz w:val="20"/>
          <w:szCs w:val="20"/>
        </w:rPr>
        <w:t>,</w:t>
      </w:r>
      <w:r w:rsidR="009D63B4" w:rsidRPr="009C5A0A">
        <w:rPr>
          <w:rFonts w:ascii="Arial" w:hAnsi="Arial" w:cs="Arial"/>
          <w:sz w:val="20"/>
          <w:szCs w:val="20"/>
        </w:rPr>
        <w:t xml:space="preserve">conforme </w:t>
      </w:r>
      <w:r w:rsidR="00CB7610" w:rsidRPr="009C5A0A">
        <w:rPr>
          <w:rFonts w:ascii="Arial" w:hAnsi="Arial" w:cs="Arial"/>
          <w:sz w:val="20"/>
          <w:szCs w:val="20"/>
        </w:rPr>
        <w:t>histórico abaixo</w:t>
      </w:r>
      <w:r w:rsidRPr="009C5A0A">
        <w:rPr>
          <w:rFonts w:ascii="Arial" w:hAnsi="Arial" w:cs="Arial"/>
          <w:sz w:val="20"/>
          <w:szCs w:val="20"/>
        </w:rPr>
        <w:t>.</w:t>
      </w:r>
    </w:p>
    <w:tbl>
      <w:tblPr>
        <w:tblW w:w="0" w:type="auto"/>
        <w:jc w:val="center"/>
        <w:tblCellSpacing w:w="7" w:type="dxa"/>
        <w:tblBorders>
          <w:insideH w:val="single" w:sz="8" w:space="0" w:color="auto"/>
          <w:insideV w:val="single" w:sz="8" w:space="0" w:color="auto"/>
        </w:tblBorders>
        <w:tblCellMar>
          <w:top w:w="30" w:type="dxa"/>
          <w:left w:w="30" w:type="dxa"/>
          <w:bottom w:w="30" w:type="dxa"/>
          <w:right w:w="30" w:type="dxa"/>
        </w:tblCellMar>
        <w:tblLook w:val="04A0" w:firstRow="1" w:lastRow="0" w:firstColumn="1" w:lastColumn="0" w:noHBand="0" w:noVBand="1"/>
      </w:tblPr>
      <w:tblGrid>
        <w:gridCol w:w="867"/>
        <w:gridCol w:w="1374"/>
        <w:gridCol w:w="504"/>
        <w:gridCol w:w="3041"/>
        <w:gridCol w:w="1202"/>
      </w:tblGrid>
      <w:tr w:rsidR="00442BDE" w:rsidRPr="00442BDE" w:rsidTr="00D40AE2">
        <w:trPr>
          <w:tblCellSpacing w:w="7" w:type="dxa"/>
          <w:jc w:val="center"/>
        </w:trPr>
        <w:tc>
          <w:tcPr>
            <w:tcW w:w="6960" w:type="dxa"/>
            <w:gridSpan w:val="5"/>
            <w:shd w:val="clear" w:color="auto" w:fill="C2D69B"/>
            <w:vAlign w:val="center"/>
            <w:hideMark/>
          </w:tcPr>
          <w:p w:rsidR="00442BDE" w:rsidRPr="00D40AE2" w:rsidRDefault="00442BDE" w:rsidP="00442BDE">
            <w:pPr>
              <w:jc w:val="center"/>
              <w:rPr>
                <w:rFonts w:ascii="Arial" w:hAnsi="Arial" w:cs="Arial"/>
                <w:b/>
                <w:sz w:val="18"/>
                <w:szCs w:val="18"/>
              </w:rPr>
            </w:pPr>
            <w:r w:rsidRPr="00D40AE2">
              <w:rPr>
                <w:rFonts w:ascii="Arial" w:hAnsi="Arial" w:cs="Arial"/>
                <w:b/>
                <w:sz w:val="18"/>
                <w:szCs w:val="18"/>
              </w:rPr>
              <w:t>Histórico das taxas de juros fixadas pelo Copom e evolução da taxa Selic</w:t>
            </w:r>
          </w:p>
        </w:tc>
      </w:tr>
      <w:tr w:rsidR="00442BDE" w:rsidRPr="00442BDE" w:rsidTr="00D40AE2">
        <w:trPr>
          <w:tblCellSpacing w:w="7" w:type="dxa"/>
          <w:jc w:val="center"/>
        </w:trPr>
        <w:tc>
          <w:tcPr>
            <w:tcW w:w="2724" w:type="dxa"/>
            <w:gridSpan w:val="3"/>
            <w:shd w:val="clear" w:color="auto" w:fill="C2D69B"/>
            <w:vAlign w:val="center"/>
            <w:hideMark/>
          </w:tcPr>
          <w:p w:rsidR="00442BDE" w:rsidRPr="00442BDE" w:rsidRDefault="00442BDE" w:rsidP="00442BDE">
            <w:pPr>
              <w:jc w:val="center"/>
              <w:rPr>
                <w:rFonts w:ascii="Arial" w:hAnsi="Arial" w:cs="Arial"/>
                <w:b/>
                <w:bCs/>
                <w:sz w:val="20"/>
                <w:szCs w:val="20"/>
              </w:rPr>
            </w:pPr>
            <w:r w:rsidRPr="00442BDE">
              <w:rPr>
                <w:rFonts w:ascii="Arial" w:hAnsi="Arial" w:cs="Arial"/>
                <w:b/>
                <w:bCs/>
                <w:sz w:val="20"/>
                <w:szCs w:val="20"/>
              </w:rPr>
              <w:t>Reunião</w:t>
            </w:r>
          </w:p>
        </w:tc>
        <w:tc>
          <w:tcPr>
            <w:tcW w:w="3027" w:type="dxa"/>
            <w:vMerge w:val="restart"/>
            <w:shd w:val="clear" w:color="auto" w:fill="C2D69B"/>
            <w:vAlign w:val="center"/>
            <w:hideMark/>
          </w:tcPr>
          <w:p w:rsidR="00442BDE" w:rsidRPr="00442BDE" w:rsidRDefault="00442BDE">
            <w:pPr>
              <w:jc w:val="center"/>
              <w:rPr>
                <w:rFonts w:ascii="Arial" w:hAnsi="Arial" w:cs="Arial"/>
                <w:b/>
                <w:bCs/>
                <w:sz w:val="20"/>
                <w:szCs w:val="20"/>
              </w:rPr>
            </w:pPr>
            <w:r w:rsidRPr="00442BDE">
              <w:rPr>
                <w:rFonts w:ascii="Arial" w:hAnsi="Arial" w:cs="Arial"/>
                <w:b/>
                <w:bCs/>
                <w:sz w:val="20"/>
                <w:szCs w:val="20"/>
              </w:rPr>
              <w:t>Período de vigência</w:t>
            </w:r>
          </w:p>
        </w:tc>
        <w:tc>
          <w:tcPr>
            <w:tcW w:w="0" w:type="auto"/>
            <w:vMerge w:val="restart"/>
            <w:shd w:val="clear" w:color="auto" w:fill="C2D69B"/>
            <w:vAlign w:val="center"/>
            <w:hideMark/>
          </w:tcPr>
          <w:p w:rsidR="00442BDE" w:rsidRPr="00442BDE" w:rsidRDefault="00442BDE" w:rsidP="00442BDE">
            <w:pPr>
              <w:jc w:val="center"/>
              <w:rPr>
                <w:rFonts w:ascii="Arial" w:hAnsi="Arial" w:cs="Arial"/>
                <w:b/>
                <w:bCs/>
                <w:sz w:val="20"/>
                <w:szCs w:val="20"/>
              </w:rPr>
            </w:pPr>
            <w:r w:rsidRPr="00442BDE">
              <w:rPr>
                <w:rFonts w:ascii="Arial" w:hAnsi="Arial" w:cs="Arial"/>
                <w:b/>
                <w:bCs/>
                <w:sz w:val="20"/>
                <w:szCs w:val="20"/>
              </w:rPr>
              <w:t>Meta SELIC</w:t>
            </w:r>
            <w:r w:rsidRPr="00442BDE">
              <w:rPr>
                <w:rFonts w:ascii="Arial" w:hAnsi="Arial" w:cs="Arial"/>
                <w:b/>
                <w:bCs/>
                <w:sz w:val="20"/>
                <w:szCs w:val="20"/>
              </w:rPr>
              <w:br/>
            </w:r>
            <w:r w:rsidRPr="00442BDE">
              <w:rPr>
                <w:rStyle w:val="textopequeno"/>
                <w:rFonts w:ascii="Arial" w:hAnsi="Arial" w:cs="Arial"/>
                <w:b/>
                <w:bCs/>
                <w:sz w:val="20"/>
                <w:szCs w:val="20"/>
              </w:rPr>
              <w:t xml:space="preserve">% a.a. </w:t>
            </w:r>
          </w:p>
        </w:tc>
      </w:tr>
      <w:tr w:rsidR="00D40AE2" w:rsidRPr="00442BDE" w:rsidTr="00D40AE2">
        <w:trPr>
          <w:tblCellSpacing w:w="7" w:type="dxa"/>
          <w:jc w:val="center"/>
        </w:trPr>
        <w:tc>
          <w:tcPr>
            <w:tcW w:w="846" w:type="dxa"/>
            <w:shd w:val="clear" w:color="auto" w:fill="C2D69B"/>
            <w:vAlign w:val="center"/>
            <w:hideMark/>
          </w:tcPr>
          <w:p w:rsidR="00442BDE" w:rsidRPr="00442BDE" w:rsidRDefault="00442BDE" w:rsidP="00442BDE">
            <w:pPr>
              <w:jc w:val="center"/>
              <w:rPr>
                <w:rFonts w:ascii="Arial" w:hAnsi="Arial" w:cs="Arial"/>
                <w:b/>
                <w:bCs/>
                <w:sz w:val="20"/>
                <w:szCs w:val="20"/>
              </w:rPr>
            </w:pPr>
            <w:r w:rsidRPr="00442BDE">
              <w:rPr>
                <w:rFonts w:ascii="Arial" w:hAnsi="Arial" w:cs="Arial"/>
                <w:b/>
                <w:bCs/>
                <w:sz w:val="20"/>
                <w:szCs w:val="20"/>
              </w:rPr>
              <w:t>nº</w:t>
            </w:r>
          </w:p>
        </w:tc>
        <w:tc>
          <w:tcPr>
            <w:tcW w:w="1360" w:type="dxa"/>
            <w:shd w:val="clear" w:color="auto" w:fill="C2D69B"/>
            <w:vAlign w:val="center"/>
            <w:hideMark/>
          </w:tcPr>
          <w:p w:rsidR="00442BDE" w:rsidRPr="00442BDE" w:rsidRDefault="00442BDE" w:rsidP="00442BDE">
            <w:pPr>
              <w:jc w:val="center"/>
              <w:rPr>
                <w:rFonts w:ascii="Arial" w:hAnsi="Arial" w:cs="Arial"/>
                <w:b/>
                <w:bCs/>
                <w:sz w:val="20"/>
                <w:szCs w:val="20"/>
              </w:rPr>
            </w:pPr>
            <w:r w:rsidRPr="00442BDE">
              <w:rPr>
                <w:rFonts w:ascii="Arial" w:hAnsi="Arial" w:cs="Arial"/>
                <w:b/>
                <w:bCs/>
                <w:sz w:val="20"/>
                <w:szCs w:val="20"/>
              </w:rPr>
              <w:t>data</w:t>
            </w:r>
          </w:p>
        </w:tc>
        <w:tc>
          <w:tcPr>
            <w:tcW w:w="490" w:type="dxa"/>
            <w:shd w:val="clear" w:color="auto" w:fill="C2D69B"/>
            <w:vAlign w:val="center"/>
            <w:hideMark/>
          </w:tcPr>
          <w:p w:rsidR="00442BDE" w:rsidRPr="00442BDE" w:rsidRDefault="00442BDE" w:rsidP="00442BDE">
            <w:pPr>
              <w:jc w:val="center"/>
              <w:rPr>
                <w:rFonts w:ascii="Arial" w:hAnsi="Arial" w:cs="Arial"/>
                <w:b/>
                <w:bCs/>
                <w:sz w:val="20"/>
                <w:szCs w:val="20"/>
              </w:rPr>
            </w:pPr>
            <w:r w:rsidRPr="00442BDE">
              <w:rPr>
                <w:rFonts w:ascii="Arial" w:hAnsi="Arial" w:cs="Arial"/>
                <w:b/>
                <w:bCs/>
                <w:sz w:val="20"/>
                <w:szCs w:val="20"/>
              </w:rPr>
              <w:t>viés</w:t>
            </w:r>
          </w:p>
        </w:tc>
        <w:tc>
          <w:tcPr>
            <w:tcW w:w="3027" w:type="dxa"/>
            <w:vMerge/>
            <w:shd w:val="clear" w:color="auto" w:fill="C2D69B"/>
            <w:vAlign w:val="center"/>
            <w:hideMark/>
          </w:tcPr>
          <w:p w:rsidR="00442BDE" w:rsidRPr="00442BDE" w:rsidRDefault="00442BDE">
            <w:pPr>
              <w:rPr>
                <w:rFonts w:ascii="Arial" w:hAnsi="Arial" w:cs="Arial"/>
                <w:b/>
                <w:bCs/>
                <w:sz w:val="20"/>
                <w:szCs w:val="20"/>
              </w:rPr>
            </w:pPr>
          </w:p>
        </w:tc>
        <w:tc>
          <w:tcPr>
            <w:tcW w:w="0" w:type="auto"/>
            <w:vMerge/>
            <w:shd w:val="clear" w:color="auto" w:fill="C2D69B"/>
            <w:vAlign w:val="center"/>
            <w:hideMark/>
          </w:tcPr>
          <w:p w:rsidR="00442BDE" w:rsidRPr="00442BDE" w:rsidRDefault="00442BDE">
            <w:pPr>
              <w:rPr>
                <w:rFonts w:ascii="Arial" w:hAnsi="Arial" w:cs="Arial"/>
                <w:b/>
                <w:bCs/>
                <w:sz w:val="20"/>
                <w:szCs w:val="20"/>
              </w:rPr>
            </w:pPr>
          </w:p>
        </w:tc>
      </w:tr>
      <w:tr w:rsidR="00FB000C" w:rsidRPr="00442BDE" w:rsidTr="00BF5A09">
        <w:trPr>
          <w:tblCellSpacing w:w="7" w:type="dxa"/>
          <w:jc w:val="center"/>
        </w:trPr>
        <w:tc>
          <w:tcPr>
            <w:tcW w:w="846"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187</w:t>
            </w:r>
          </w:p>
        </w:tc>
        <w:tc>
          <w:tcPr>
            <w:tcW w:w="1360"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03/12/2014</w:t>
            </w:r>
          </w:p>
        </w:tc>
        <w:tc>
          <w:tcPr>
            <w:tcW w:w="490" w:type="dxa"/>
            <w:vAlign w:val="bottom"/>
            <w:hideMark/>
          </w:tcPr>
          <w:p w:rsidR="00FB000C" w:rsidRDefault="00FB000C" w:rsidP="00FB000C">
            <w:pPr>
              <w:jc w:val="center"/>
              <w:rPr>
                <w:rFonts w:ascii="Arial" w:hAnsi="Arial" w:cs="Arial"/>
                <w:color w:val="0000FF"/>
                <w:sz w:val="20"/>
                <w:szCs w:val="20"/>
                <w:u w:val="single"/>
              </w:rPr>
            </w:pPr>
          </w:p>
        </w:tc>
        <w:tc>
          <w:tcPr>
            <w:tcW w:w="3027"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04/12/2014 - _________</w:t>
            </w:r>
          </w:p>
        </w:tc>
        <w:tc>
          <w:tcPr>
            <w:tcW w:w="0" w:type="auto"/>
            <w:vAlign w:val="bottom"/>
            <w:hideMark/>
          </w:tcPr>
          <w:p w:rsidR="00FB000C" w:rsidRDefault="00FB000C" w:rsidP="00FB000C">
            <w:pPr>
              <w:jc w:val="center"/>
              <w:rPr>
                <w:rFonts w:ascii="Arial" w:hAnsi="Arial" w:cs="Arial"/>
                <w:sz w:val="20"/>
                <w:szCs w:val="20"/>
              </w:rPr>
            </w:pPr>
            <w:r>
              <w:rPr>
                <w:rFonts w:ascii="Arial" w:hAnsi="Arial" w:cs="Arial"/>
                <w:sz w:val="20"/>
                <w:szCs w:val="20"/>
              </w:rPr>
              <w:t>11,75</w:t>
            </w:r>
          </w:p>
        </w:tc>
      </w:tr>
      <w:tr w:rsidR="00FB000C" w:rsidRPr="00442BDE" w:rsidTr="00BF5A09">
        <w:trPr>
          <w:tblCellSpacing w:w="7" w:type="dxa"/>
          <w:jc w:val="center"/>
        </w:trPr>
        <w:tc>
          <w:tcPr>
            <w:tcW w:w="846"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186</w:t>
            </w:r>
          </w:p>
        </w:tc>
        <w:tc>
          <w:tcPr>
            <w:tcW w:w="1360"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29/10/2014</w:t>
            </w:r>
          </w:p>
        </w:tc>
        <w:tc>
          <w:tcPr>
            <w:tcW w:w="490" w:type="dxa"/>
            <w:vAlign w:val="bottom"/>
            <w:hideMark/>
          </w:tcPr>
          <w:p w:rsidR="00FB000C" w:rsidRDefault="00FB000C" w:rsidP="00FB000C">
            <w:pPr>
              <w:jc w:val="center"/>
              <w:rPr>
                <w:rFonts w:ascii="Arial" w:hAnsi="Arial" w:cs="Arial"/>
                <w:color w:val="0000FF"/>
                <w:sz w:val="20"/>
                <w:szCs w:val="20"/>
                <w:u w:val="single"/>
              </w:rPr>
            </w:pPr>
          </w:p>
        </w:tc>
        <w:tc>
          <w:tcPr>
            <w:tcW w:w="3027"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30/10/2014 - 03/12/2014</w:t>
            </w:r>
          </w:p>
        </w:tc>
        <w:tc>
          <w:tcPr>
            <w:tcW w:w="0" w:type="auto"/>
            <w:vAlign w:val="bottom"/>
            <w:hideMark/>
          </w:tcPr>
          <w:p w:rsidR="00FB000C" w:rsidRDefault="00FB000C" w:rsidP="00FB000C">
            <w:pPr>
              <w:jc w:val="center"/>
              <w:rPr>
                <w:rFonts w:ascii="Arial" w:hAnsi="Arial" w:cs="Arial"/>
                <w:sz w:val="20"/>
                <w:szCs w:val="20"/>
              </w:rPr>
            </w:pPr>
            <w:r>
              <w:rPr>
                <w:rFonts w:ascii="Arial" w:hAnsi="Arial" w:cs="Arial"/>
                <w:sz w:val="20"/>
                <w:szCs w:val="20"/>
              </w:rPr>
              <w:t>11,25</w:t>
            </w:r>
          </w:p>
        </w:tc>
      </w:tr>
      <w:tr w:rsidR="00FB000C" w:rsidRPr="00442BDE" w:rsidTr="00BF5A09">
        <w:trPr>
          <w:tblCellSpacing w:w="7" w:type="dxa"/>
          <w:jc w:val="center"/>
        </w:trPr>
        <w:tc>
          <w:tcPr>
            <w:tcW w:w="846"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185</w:t>
            </w:r>
          </w:p>
        </w:tc>
        <w:tc>
          <w:tcPr>
            <w:tcW w:w="1360"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03/09/2014</w:t>
            </w:r>
          </w:p>
        </w:tc>
        <w:tc>
          <w:tcPr>
            <w:tcW w:w="490" w:type="dxa"/>
            <w:vAlign w:val="bottom"/>
            <w:hideMark/>
          </w:tcPr>
          <w:p w:rsidR="00FB000C" w:rsidRDefault="00FB000C" w:rsidP="00FB000C">
            <w:pPr>
              <w:jc w:val="center"/>
              <w:rPr>
                <w:rFonts w:ascii="Arial" w:hAnsi="Arial" w:cs="Arial"/>
                <w:color w:val="0000FF"/>
                <w:sz w:val="20"/>
                <w:szCs w:val="20"/>
                <w:u w:val="single"/>
              </w:rPr>
            </w:pPr>
          </w:p>
        </w:tc>
        <w:tc>
          <w:tcPr>
            <w:tcW w:w="3027"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04/09/2014 - 29/10/2014</w:t>
            </w:r>
          </w:p>
        </w:tc>
        <w:tc>
          <w:tcPr>
            <w:tcW w:w="0" w:type="auto"/>
            <w:vAlign w:val="bottom"/>
            <w:hideMark/>
          </w:tcPr>
          <w:p w:rsidR="00FB000C" w:rsidRDefault="00FB000C" w:rsidP="00FB000C">
            <w:pPr>
              <w:jc w:val="center"/>
              <w:rPr>
                <w:rFonts w:ascii="Arial" w:hAnsi="Arial" w:cs="Arial"/>
                <w:sz w:val="20"/>
                <w:szCs w:val="20"/>
              </w:rPr>
            </w:pPr>
            <w:r>
              <w:rPr>
                <w:rFonts w:ascii="Arial" w:hAnsi="Arial" w:cs="Arial"/>
                <w:sz w:val="20"/>
                <w:szCs w:val="20"/>
              </w:rPr>
              <w:t>11,00</w:t>
            </w:r>
          </w:p>
        </w:tc>
      </w:tr>
      <w:tr w:rsidR="00FB000C" w:rsidRPr="00442BDE" w:rsidTr="00BF5A09">
        <w:trPr>
          <w:tblCellSpacing w:w="7" w:type="dxa"/>
          <w:jc w:val="center"/>
        </w:trPr>
        <w:tc>
          <w:tcPr>
            <w:tcW w:w="846"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184</w:t>
            </w:r>
          </w:p>
        </w:tc>
        <w:tc>
          <w:tcPr>
            <w:tcW w:w="1360"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16/07/2014</w:t>
            </w:r>
          </w:p>
        </w:tc>
        <w:tc>
          <w:tcPr>
            <w:tcW w:w="490" w:type="dxa"/>
            <w:vAlign w:val="bottom"/>
            <w:hideMark/>
          </w:tcPr>
          <w:p w:rsidR="00FB000C" w:rsidRDefault="00FB000C" w:rsidP="00FB000C">
            <w:pPr>
              <w:jc w:val="center"/>
              <w:rPr>
                <w:rFonts w:ascii="Arial" w:hAnsi="Arial" w:cs="Arial"/>
                <w:color w:val="0000FF"/>
                <w:sz w:val="20"/>
                <w:szCs w:val="20"/>
                <w:u w:val="single"/>
              </w:rPr>
            </w:pPr>
          </w:p>
        </w:tc>
        <w:tc>
          <w:tcPr>
            <w:tcW w:w="3027"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17/07/2014 - 03/09/2014</w:t>
            </w:r>
          </w:p>
        </w:tc>
        <w:tc>
          <w:tcPr>
            <w:tcW w:w="0" w:type="auto"/>
            <w:vAlign w:val="bottom"/>
            <w:hideMark/>
          </w:tcPr>
          <w:p w:rsidR="00FB000C" w:rsidRDefault="00FB000C" w:rsidP="00FB000C">
            <w:pPr>
              <w:jc w:val="center"/>
              <w:rPr>
                <w:rFonts w:ascii="Arial" w:hAnsi="Arial" w:cs="Arial"/>
                <w:sz w:val="20"/>
                <w:szCs w:val="20"/>
              </w:rPr>
            </w:pPr>
            <w:r>
              <w:rPr>
                <w:rFonts w:ascii="Arial" w:hAnsi="Arial" w:cs="Arial"/>
                <w:sz w:val="20"/>
                <w:szCs w:val="20"/>
              </w:rPr>
              <w:t>11,00</w:t>
            </w:r>
          </w:p>
        </w:tc>
      </w:tr>
      <w:tr w:rsidR="00FB000C" w:rsidRPr="00442BDE" w:rsidTr="00BF5A09">
        <w:trPr>
          <w:tblCellSpacing w:w="7" w:type="dxa"/>
          <w:jc w:val="center"/>
        </w:trPr>
        <w:tc>
          <w:tcPr>
            <w:tcW w:w="846" w:type="dxa"/>
            <w:vAlign w:val="bottom"/>
            <w:hideMark/>
          </w:tcPr>
          <w:p w:rsidR="00FB000C" w:rsidRDefault="00FB000C" w:rsidP="00FB000C">
            <w:pPr>
              <w:jc w:val="center"/>
              <w:rPr>
                <w:rFonts w:ascii="Arial" w:hAnsi="Arial" w:cs="Arial"/>
                <w:sz w:val="20"/>
                <w:szCs w:val="20"/>
              </w:rPr>
            </w:pPr>
            <w:r>
              <w:rPr>
                <w:rFonts w:ascii="Arial" w:hAnsi="Arial" w:cs="Arial"/>
                <w:sz w:val="20"/>
                <w:szCs w:val="20"/>
              </w:rPr>
              <w:lastRenderedPageBreak/>
              <w:t>183</w:t>
            </w:r>
          </w:p>
        </w:tc>
        <w:tc>
          <w:tcPr>
            <w:tcW w:w="1360"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28/05/2014</w:t>
            </w:r>
          </w:p>
        </w:tc>
        <w:tc>
          <w:tcPr>
            <w:tcW w:w="490" w:type="dxa"/>
            <w:vAlign w:val="bottom"/>
            <w:hideMark/>
          </w:tcPr>
          <w:p w:rsidR="00FB000C" w:rsidRDefault="00FB000C" w:rsidP="00FB000C">
            <w:pPr>
              <w:jc w:val="center"/>
              <w:rPr>
                <w:rFonts w:ascii="Arial" w:hAnsi="Arial" w:cs="Arial"/>
                <w:color w:val="0000FF"/>
                <w:sz w:val="20"/>
                <w:szCs w:val="20"/>
                <w:u w:val="single"/>
              </w:rPr>
            </w:pPr>
          </w:p>
        </w:tc>
        <w:tc>
          <w:tcPr>
            <w:tcW w:w="3027"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29/05/2014 - 16/07/2014</w:t>
            </w:r>
          </w:p>
        </w:tc>
        <w:tc>
          <w:tcPr>
            <w:tcW w:w="0" w:type="auto"/>
            <w:vAlign w:val="bottom"/>
            <w:hideMark/>
          </w:tcPr>
          <w:p w:rsidR="00FB000C" w:rsidRDefault="00FB000C" w:rsidP="00FB000C">
            <w:pPr>
              <w:jc w:val="center"/>
              <w:rPr>
                <w:rFonts w:ascii="Arial" w:hAnsi="Arial" w:cs="Arial"/>
                <w:sz w:val="20"/>
                <w:szCs w:val="20"/>
              </w:rPr>
            </w:pPr>
            <w:r>
              <w:rPr>
                <w:rFonts w:ascii="Arial" w:hAnsi="Arial" w:cs="Arial"/>
                <w:sz w:val="20"/>
                <w:szCs w:val="20"/>
              </w:rPr>
              <w:t>11,00</w:t>
            </w:r>
          </w:p>
        </w:tc>
      </w:tr>
      <w:tr w:rsidR="00FB000C" w:rsidRPr="00442BDE" w:rsidTr="00BF5A09">
        <w:trPr>
          <w:tblCellSpacing w:w="7" w:type="dxa"/>
          <w:jc w:val="center"/>
        </w:trPr>
        <w:tc>
          <w:tcPr>
            <w:tcW w:w="846"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182</w:t>
            </w:r>
          </w:p>
        </w:tc>
        <w:tc>
          <w:tcPr>
            <w:tcW w:w="1360"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02/04/2014</w:t>
            </w:r>
          </w:p>
        </w:tc>
        <w:tc>
          <w:tcPr>
            <w:tcW w:w="490" w:type="dxa"/>
            <w:vAlign w:val="bottom"/>
            <w:hideMark/>
          </w:tcPr>
          <w:p w:rsidR="00FB000C" w:rsidRDefault="00FB000C" w:rsidP="00FB000C">
            <w:pPr>
              <w:jc w:val="center"/>
              <w:rPr>
                <w:rFonts w:ascii="Arial" w:hAnsi="Arial" w:cs="Arial"/>
                <w:color w:val="0000FF"/>
                <w:sz w:val="20"/>
                <w:szCs w:val="20"/>
                <w:u w:val="single"/>
              </w:rPr>
            </w:pPr>
          </w:p>
        </w:tc>
        <w:tc>
          <w:tcPr>
            <w:tcW w:w="3027"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03/04/2014 - 28/05/2014</w:t>
            </w:r>
          </w:p>
        </w:tc>
        <w:tc>
          <w:tcPr>
            <w:tcW w:w="0" w:type="auto"/>
            <w:vAlign w:val="bottom"/>
            <w:hideMark/>
          </w:tcPr>
          <w:p w:rsidR="00FB000C" w:rsidRDefault="00FB000C" w:rsidP="00FB000C">
            <w:pPr>
              <w:jc w:val="center"/>
              <w:rPr>
                <w:rFonts w:ascii="Arial" w:hAnsi="Arial" w:cs="Arial"/>
                <w:sz w:val="20"/>
                <w:szCs w:val="20"/>
              </w:rPr>
            </w:pPr>
            <w:r>
              <w:rPr>
                <w:rFonts w:ascii="Arial" w:hAnsi="Arial" w:cs="Arial"/>
                <w:sz w:val="20"/>
                <w:szCs w:val="20"/>
              </w:rPr>
              <w:t>11,00</w:t>
            </w:r>
          </w:p>
        </w:tc>
      </w:tr>
      <w:tr w:rsidR="00FB000C" w:rsidRPr="00442BDE" w:rsidTr="00BF5A09">
        <w:trPr>
          <w:tblCellSpacing w:w="7" w:type="dxa"/>
          <w:jc w:val="center"/>
        </w:trPr>
        <w:tc>
          <w:tcPr>
            <w:tcW w:w="846"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181</w:t>
            </w:r>
          </w:p>
        </w:tc>
        <w:tc>
          <w:tcPr>
            <w:tcW w:w="1360"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26/02/2014</w:t>
            </w:r>
          </w:p>
        </w:tc>
        <w:tc>
          <w:tcPr>
            <w:tcW w:w="490" w:type="dxa"/>
            <w:vAlign w:val="bottom"/>
            <w:hideMark/>
          </w:tcPr>
          <w:p w:rsidR="00FB000C" w:rsidRDefault="00FB000C" w:rsidP="00FB000C">
            <w:pPr>
              <w:jc w:val="center"/>
              <w:rPr>
                <w:rFonts w:ascii="Arial" w:hAnsi="Arial" w:cs="Arial"/>
                <w:color w:val="0000FF"/>
                <w:sz w:val="20"/>
                <w:szCs w:val="20"/>
                <w:u w:val="single"/>
              </w:rPr>
            </w:pPr>
          </w:p>
        </w:tc>
        <w:tc>
          <w:tcPr>
            <w:tcW w:w="3027"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27/02/2014 - 02/04/2014</w:t>
            </w:r>
          </w:p>
        </w:tc>
        <w:tc>
          <w:tcPr>
            <w:tcW w:w="0" w:type="auto"/>
            <w:vAlign w:val="bottom"/>
            <w:hideMark/>
          </w:tcPr>
          <w:p w:rsidR="00FB000C" w:rsidRDefault="00FB000C" w:rsidP="00FB000C">
            <w:pPr>
              <w:jc w:val="center"/>
              <w:rPr>
                <w:rFonts w:ascii="Arial" w:hAnsi="Arial" w:cs="Arial"/>
                <w:sz w:val="20"/>
                <w:szCs w:val="20"/>
              </w:rPr>
            </w:pPr>
            <w:r>
              <w:rPr>
                <w:rFonts w:ascii="Arial" w:hAnsi="Arial" w:cs="Arial"/>
                <w:sz w:val="20"/>
                <w:szCs w:val="20"/>
              </w:rPr>
              <w:t>10,75</w:t>
            </w:r>
          </w:p>
        </w:tc>
      </w:tr>
      <w:tr w:rsidR="00FB000C" w:rsidRPr="00442BDE" w:rsidTr="00BF5A09">
        <w:trPr>
          <w:tblCellSpacing w:w="7" w:type="dxa"/>
          <w:jc w:val="center"/>
        </w:trPr>
        <w:tc>
          <w:tcPr>
            <w:tcW w:w="846"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180</w:t>
            </w:r>
          </w:p>
        </w:tc>
        <w:tc>
          <w:tcPr>
            <w:tcW w:w="1360"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15/01/2014</w:t>
            </w:r>
          </w:p>
        </w:tc>
        <w:tc>
          <w:tcPr>
            <w:tcW w:w="490" w:type="dxa"/>
            <w:vAlign w:val="bottom"/>
            <w:hideMark/>
          </w:tcPr>
          <w:p w:rsidR="00FB000C" w:rsidRDefault="00FB000C" w:rsidP="00FB000C">
            <w:pPr>
              <w:jc w:val="center"/>
              <w:rPr>
                <w:rFonts w:ascii="Arial" w:hAnsi="Arial" w:cs="Arial"/>
                <w:color w:val="0000FF"/>
                <w:sz w:val="20"/>
                <w:szCs w:val="20"/>
                <w:u w:val="single"/>
              </w:rPr>
            </w:pPr>
          </w:p>
        </w:tc>
        <w:tc>
          <w:tcPr>
            <w:tcW w:w="3027" w:type="dxa"/>
            <w:vAlign w:val="bottom"/>
            <w:hideMark/>
          </w:tcPr>
          <w:p w:rsidR="00FB000C" w:rsidRDefault="00FB000C" w:rsidP="00FB000C">
            <w:pPr>
              <w:jc w:val="center"/>
              <w:rPr>
                <w:rFonts w:ascii="Arial" w:hAnsi="Arial" w:cs="Arial"/>
                <w:sz w:val="20"/>
                <w:szCs w:val="20"/>
              </w:rPr>
            </w:pPr>
            <w:r>
              <w:rPr>
                <w:rFonts w:ascii="Arial" w:hAnsi="Arial" w:cs="Arial"/>
                <w:sz w:val="20"/>
                <w:szCs w:val="20"/>
              </w:rPr>
              <w:t>16/01/2014 - 26/02/2014</w:t>
            </w:r>
          </w:p>
        </w:tc>
        <w:tc>
          <w:tcPr>
            <w:tcW w:w="0" w:type="auto"/>
            <w:vAlign w:val="bottom"/>
            <w:hideMark/>
          </w:tcPr>
          <w:p w:rsidR="00FB000C" w:rsidRDefault="00FB000C" w:rsidP="00FB000C">
            <w:pPr>
              <w:jc w:val="center"/>
              <w:rPr>
                <w:rFonts w:ascii="Arial" w:hAnsi="Arial" w:cs="Arial"/>
                <w:sz w:val="20"/>
                <w:szCs w:val="20"/>
              </w:rPr>
            </w:pPr>
            <w:r>
              <w:rPr>
                <w:rFonts w:ascii="Arial" w:hAnsi="Arial" w:cs="Arial"/>
                <w:sz w:val="20"/>
                <w:szCs w:val="20"/>
              </w:rPr>
              <w:t>10,50</w:t>
            </w:r>
          </w:p>
        </w:tc>
      </w:tr>
    </w:tbl>
    <w:p w:rsidR="000530E8" w:rsidRDefault="000530E8" w:rsidP="009D63B4">
      <w:pPr>
        <w:autoSpaceDE w:val="0"/>
        <w:autoSpaceDN w:val="0"/>
        <w:adjustRightInd w:val="0"/>
        <w:spacing w:after="120" w:line="312" w:lineRule="auto"/>
        <w:ind w:firstLine="1418"/>
        <w:jc w:val="both"/>
        <w:rPr>
          <w:rFonts w:ascii="Arial" w:hAnsi="Arial" w:cs="Arial"/>
          <w:sz w:val="20"/>
          <w:szCs w:val="20"/>
        </w:rPr>
      </w:pPr>
    </w:p>
    <w:p w:rsidR="00713C55" w:rsidRPr="00187567" w:rsidRDefault="00713C55" w:rsidP="00D64BCE">
      <w:pPr>
        <w:autoSpaceDE w:val="0"/>
        <w:autoSpaceDN w:val="0"/>
        <w:adjustRightInd w:val="0"/>
        <w:spacing w:after="120" w:line="312" w:lineRule="auto"/>
        <w:ind w:firstLine="1418"/>
        <w:jc w:val="both"/>
        <w:rPr>
          <w:rFonts w:ascii="Arial" w:hAnsi="Arial" w:cs="Arial"/>
          <w:sz w:val="20"/>
          <w:szCs w:val="20"/>
        </w:rPr>
      </w:pPr>
      <w:r w:rsidRPr="00187567">
        <w:rPr>
          <w:rFonts w:ascii="Arial" w:hAnsi="Arial" w:cs="Arial"/>
          <w:sz w:val="20"/>
          <w:szCs w:val="20"/>
        </w:rPr>
        <w:t>Conf</w:t>
      </w:r>
      <w:r w:rsidR="008837A2" w:rsidRPr="00187567">
        <w:rPr>
          <w:rFonts w:ascii="Arial" w:hAnsi="Arial" w:cs="Arial"/>
          <w:sz w:val="20"/>
          <w:szCs w:val="20"/>
        </w:rPr>
        <w:t>orme Relatório de Mercado FOCUS</w:t>
      </w:r>
      <w:r w:rsidRPr="00187567">
        <w:rPr>
          <w:rFonts w:ascii="Arial" w:hAnsi="Arial" w:cs="Arial"/>
          <w:sz w:val="20"/>
          <w:szCs w:val="20"/>
        </w:rPr>
        <w:t xml:space="preserve"> para o ano de 201</w:t>
      </w:r>
      <w:r w:rsidR="00FB000C">
        <w:rPr>
          <w:rFonts w:ascii="Arial" w:hAnsi="Arial" w:cs="Arial"/>
          <w:sz w:val="20"/>
          <w:szCs w:val="20"/>
        </w:rPr>
        <w:t>5</w:t>
      </w:r>
      <w:r w:rsidR="008837A2" w:rsidRPr="00187567">
        <w:rPr>
          <w:rFonts w:ascii="Arial" w:hAnsi="Arial" w:cs="Arial"/>
          <w:sz w:val="20"/>
          <w:szCs w:val="20"/>
        </w:rPr>
        <w:t>,</w:t>
      </w:r>
      <w:r w:rsidRPr="00187567">
        <w:rPr>
          <w:rFonts w:ascii="Arial" w:hAnsi="Arial" w:cs="Arial"/>
          <w:sz w:val="20"/>
          <w:szCs w:val="20"/>
        </w:rPr>
        <w:t xml:space="preserve"> o BACEN </w:t>
      </w:r>
      <w:r w:rsidR="006656DE" w:rsidRPr="00187567">
        <w:rPr>
          <w:rFonts w:ascii="Arial" w:hAnsi="Arial" w:cs="Arial"/>
          <w:sz w:val="20"/>
          <w:szCs w:val="20"/>
        </w:rPr>
        <w:t xml:space="preserve">e as instituições financeiras </w:t>
      </w:r>
      <w:r w:rsidRPr="00187567">
        <w:rPr>
          <w:rFonts w:ascii="Arial" w:hAnsi="Arial" w:cs="Arial"/>
          <w:sz w:val="20"/>
          <w:szCs w:val="20"/>
        </w:rPr>
        <w:t>projeta</w:t>
      </w:r>
      <w:r w:rsidR="006656DE" w:rsidRPr="00187567">
        <w:rPr>
          <w:rFonts w:ascii="Arial" w:hAnsi="Arial" w:cs="Arial"/>
          <w:sz w:val="20"/>
          <w:szCs w:val="20"/>
        </w:rPr>
        <w:t>m</w:t>
      </w:r>
      <w:r w:rsidRPr="00187567">
        <w:rPr>
          <w:rFonts w:ascii="Arial" w:hAnsi="Arial" w:cs="Arial"/>
          <w:sz w:val="20"/>
          <w:szCs w:val="20"/>
        </w:rPr>
        <w:t xml:space="preserve"> a taxa SELIC em </w:t>
      </w:r>
      <w:r w:rsidR="0096305D">
        <w:rPr>
          <w:rFonts w:ascii="Arial" w:hAnsi="Arial" w:cs="Arial"/>
          <w:sz w:val="20"/>
          <w:szCs w:val="20"/>
        </w:rPr>
        <w:t>1</w:t>
      </w:r>
      <w:r w:rsidR="00EB7BB9">
        <w:rPr>
          <w:rFonts w:ascii="Arial" w:hAnsi="Arial" w:cs="Arial"/>
          <w:sz w:val="20"/>
          <w:szCs w:val="20"/>
        </w:rPr>
        <w:t>2</w:t>
      </w:r>
      <w:r w:rsidR="0096305D">
        <w:rPr>
          <w:rFonts w:ascii="Arial" w:hAnsi="Arial" w:cs="Arial"/>
          <w:sz w:val="20"/>
          <w:szCs w:val="20"/>
        </w:rPr>
        <w:t>,50</w:t>
      </w:r>
      <w:r w:rsidR="00CA1D18" w:rsidRPr="00187567">
        <w:rPr>
          <w:rFonts w:ascii="Arial" w:hAnsi="Arial" w:cs="Arial"/>
          <w:sz w:val="20"/>
          <w:szCs w:val="20"/>
        </w:rPr>
        <w:t>% (</w:t>
      </w:r>
      <w:r w:rsidR="0096305D">
        <w:rPr>
          <w:rFonts w:ascii="Arial" w:hAnsi="Arial" w:cs="Arial"/>
          <w:sz w:val="20"/>
          <w:szCs w:val="20"/>
        </w:rPr>
        <w:t>d</w:t>
      </w:r>
      <w:r w:rsidR="00EB7BB9">
        <w:rPr>
          <w:rFonts w:ascii="Arial" w:hAnsi="Arial" w:cs="Arial"/>
          <w:sz w:val="20"/>
          <w:szCs w:val="20"/>
        </w:rPr>
        <w:t>oze</w:t>
      </w:r>
      <w:r w:rsidR="00CA1D18" w:rsidRPr="00187567">
        <w:rPr>
          <w:rFonts w:ascii="Arial" w:hAnsi="Arial" w:cs="Arial"/>
          <w:sz w:val="20"/>
          <w:szCs w:val="20"/>
        </w:rPr>
        <w:t xml:space="preserve"> vírgula </w:t>
      </w:r>
      <w:r w:rsidR="009C5A0A">
        <w:rPr>
          <w:rFonts w:ascii="Arial" w:hAnsi="Arial" w:cs="Arial"/>
          <w:sz w:val="20"/>
          <w:szCs w:val="20"/>
        </w:rPr>
        <w:t>cinqüenta</w:t>
      </w:r>
      <w:r w:rsidR="00CA1D18" w:rsidRPr="00187567">
        <w:rPr>
          <w:rFonts w:ascii="Arial" w:hAnsi="Arial" w:cs="Arial"/>
          <w:sz w:val="20"/>
          <w:szCs w:val="20"/>
        </w:rPr>
        <w:t xml:space="preserve"> por cento) </w:t>
      </w:r>
      <w:r w:rsidRPr="00187567">
        <w:rPr>
          <w:rFonts w:ascii="Arial" w:hAnsi="Arial" w:cs="Arial"/>
          <w:sz w:val="20"/>
          <w:szCs w:val="20"/>
        </w:rPr>
        <w:t>para o fechamento do exercício.</w:t>
      </w:r>
    </w:p>
    <w:p w:rsidR="002760AA" w:rsidRDefault="00713C55" w:rsidP="00CA1D18">
      <w:pPr>
        <w:autoSpaceDE w:val="0"/>
        <w:autoSpaceDN w:val="0"/>
        <w:adjustRightInd w:val="0"/>
        <w:spacing w:after="120"/>
        <w:ind w:firstLine="1418"/>
        <w:jc w:val="both"/>
        <w:rPr>
          <w:rFonts w:ascii="Arial" w:hAnsi="Arial" w:cs="Arial"/>
          <w:sz w:val="20"/>
          <w:szCs w:val="20"/>
        </w:rPr>
      </w:pPr>
      <w:r w:rsidRPr="00187567">
        <w:rPr>
          <w:rFonts w:ascii="Arial" w:hAnsi="Arial" w:cs="Arial"/>
          <w:sz w:val="20"/>
          <w:szCs w:val="20"/>
        </w:rPr>
        <w:t xml:space="preserve">Apresentamos o Relatório de Mercado FOCUS do Banco Central do Brasil, do dia </w:t>
      </w:r>
      <w:r w:rsidR="001F7397">
        <w:rPr>
          <w:rFonts w:ascii="Arial" w:hAnsi="Arial" w:cs="Arial"/>
          <w:sz w:val="20"/>
          <w:szCs w:val="20"/>
        </w:rPr>
        <w:t>05</w:t>
      </w:r>
      <w:r w:rsidRPr="00187567">
        <w:rPr>
          <w:rFonts w:ascii="Arial" w:hAnsi="Arial" w:cs="Arial"/>
          <w:sz w:val="20"/>
          <w:szCs w:val="20"/>
        </w:rPr>
        <w:t xml:space="preserve"> de dezembro de 201</w:t>
      </w:r>
      <w:r w:rsidR="001F7397">
        <w:rPr>
          <w:rFonts w:ascii="Arial" w:hAnsi="Arial" w:cs="Arial"/>
          <w:sz w:val="20"/>
          <w:szCs w:val="20"/>
        </w:rPr>
        <w:t>4</w:t>
      </w:r>
      <w:r w:rsidRPr="00187567">
        <w:rPr>
          <w:rFonts w:ascii="Arial" w:hAnsi="Arial" w:cs="Arial"/>
          <w:sz w:val="20"/>
          <w:szCs w:val="20"/>
        </w:rPr>
        <w:t>:</w:t>
      </w:r>
    </w:p>
    <w:p w:rsidR="00425A74" w:rsidRDefault="001F7397" w:rsidP="00425A74">
      <w:pPr>
        <w:autoSpaceDE w:val="0"/>
        <w:autoSpaceDN w:val="0"/>
        <w:adjustRightInd w:val="0"/>
        <w:spacing w:after="120"/>
        <w:jc w:val="both"/>
        <w:rPr>
          <w:rFonts w:ascii="Arial" w:hAnsi="Arial" w:cs="Arial"/>
          <w:sz w:val="20"/>
          <w:szCs w:val="20"/>
        </w:rPr>
      </w:pPr>
      <w:r>
        <w:rPr>
          <w:rFonts w:ascii="Arial" w:hAnsi="Arial" w:cs="Arial"/>
          <w:noProof/>
          <w:sz w:val="20"/>
          <w:szCs w:val="20"/>
        </w:rPr>
        <w:drawing>
          <wp:inline distT="0" distB="0" distL="0" distR="0">
            <wp:extent cx="5581241" cy="2661314"/>
            <wp:effectExtent l="19050" t="0" r="409"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581650" cy="2661509"/>
                    </a:xfrm>
                    <a:prstGeom prst="rect">
                      <a:avLst/>
                    </a:prstGeom>
                    <a:noFill/>
                    <a:ln w="9525">
                      <a:noFill/>
                      <a:miter lim="800000"/>
                      <a:headEnd/>
                      <a:tailEnd/>
                    </a:ln>
                  </pic:spPr>
                </pic:pic>
              </a:graphicData>
            </a:graphic>
          </wp:inline>
        </w:drawing>
      </w:r>
    </w:p>
    <w:p w:rsidR="003F57EF" w:rsidRPr="009825DF" w:rsidRDefault="00A50544" w:rsidP="00A50544">
      <w:pPr>
        <w:autoSpaceDE w:val="0"/>
        <w:autoSpaceDN w:val="0"/>
        <w:adjustRightInd w:val="0"/>
        <w:spacing w:after="120"/>
        <w:jc w:val="both"/>
        <w:rPr>
          <w:rFonts w:ascii="Arial" w:hAnsi="Arial" w:cs="Arial"/>
          <w:sz w:val="20"/>
          <w:szCs w:val="20"/>
        </w:rPr>
      </w:pPr>
      <w:r w:rsidRPr="00A50544">
        <w:rPr>
          <w:rFonts w:ascii="Arial" w:hAnsi="Arial" w:cs="Arial"/>
          <w:sz w:val="12"/>
          <w:szCs w:val="12"/>
        </w:rPr>
        <w:t>FONTE: Site do Banco Central do Brasil – www.bcb.gov.br</w:t>
      </w:r>
    </w:p>
    <w:p w:rsidR="00C00C99" w:rsidRPr="00D64BCE" w:rsidRDefault="00C00C99" w:rsidP="00D64BCE">
      <w:pPr>
        <w:autoSpaceDE w:val="0"/>
        <w:autoSpaceDN w:val="0"/>
        <w:adjustRightInd w:val="0"/>
        <w:spacing w:before="360" w:after="120"/>
        <w:jc w:val="both"/>
        <w:rPr>
          <w:rFonts w:ascii="Arial" w:hAnsi="Arial" w:cs="Arial"/>
          <w:b/>
          <w:bCs/>
          <w:smallCaps/>
          <w:sz w:val="20"/>
          <w:szCs w:val="20"/>
        </w:rPr>
      </w:pPr>
      <w:bookmarkStart w:id="29" w:name="_Toc184817257"/>
      <w:r w:rsidRPr="00D64BCE">
        <w:rPr>
          <w:rFonts w:ascii="Arial" w:hAnsi="Arial" w:cs="Arial"/>
          <w:b/>
          <w:bCs/>
          <w:smallCaps/>
          <w:sz w:val="20"/>
          <w:szCs w:val="20"/>
        </w:rPr>
        <w:t>6.</w:t>
      </w:r>
      <w:r w:rsidR="00AC3079" w:rsidRPr="00D64BCE">
        <w:rPr>
          <w:rFonts w:ascii="Arial" w:hAnsi="Arial" w:cs="Arial"/>
          <w:b/>
          <w:bCs/>
          <w:smallCaps/>
          <w:sz w:val="20"/>
          <w:szCs w:val="20"/>
        </w:rPr>
        <w:t>5</w:t>
      </w:r>
      <w:r w:rsidR="00F1149A" w:rsidRPr="00D64BCE">
        <w:rPr>
          <w:rFonts w:ascii="Arial" w:hAnsi="Arial" w:cs="Arial"/>
          <w:b/>
          <w:bCs/>
          <w:smallCaps/>
          <w:sz w:val="20"/>
          <w:szCs w:val="20"/>
        </w:rPr>
        <w:t>.</w:t>
      </w:r>
      <w:r w:rsidR="00D64BCE" w:rsidRPr="00D64BCE">
        <w:rPr>
          <w:rFonts w:ascii="Arial" w:hAnsi="Arial" w:cs="Arial"/>
          <w:b/>
          <w:bCs/>
          <w:smallCaps/>
          <w:sz w:val="20"/>
          <w:szCs w:val="20"/>
        </w:rPr>
        <w:t xml:space="preserve"> CONTROLES INTERNOS</w:t>
      </w:r>
    </w:p>
    <w:bookmarkEnd w:id="29"/>
    <w:p w:rsidR="00AC3079" w:rsidRPr="00187567" w:rsidRDefault="00AC3079" w:rsidP="00D64BCE">
      <w:pPr>
        <w:spacing w:after="120" w:line="312" w:lineRule="auto"/>
        <w:ind w:firstLine="1418"/>
        <w:jc w:val="both"/>
        <w:rPr>
          <w:rFonts w:ascii="Arial" w:hAnsi="Arial" w:cs="Arial"/>
          <w:sz w:val="20"/>
          <w:szCs w:val="20"/>
        </w:rPr>
      </w:pPr>
      <w:r>
        <w:rPr>
          <w:rFonts w:ascii="Arial" w:hAnsi="Arial" w:cs="Arial"/>
          <w:sz w:val="20"/>
          <w:szCs w:val="20"/>
        </w:rPr>
        <w:t xml:space="preserve">Os relatórios </w:t>
      </w:r>
      <w:r w:rsidR="00CA1D18" w:rsidRPr="00187567">
        <w:rPr>
          <w:rFonts w:ascii="Arial" w:hAnsi="Arial" w:cs="Arial"/>
          <w:sz w:val="20"/>
          <w:szCs w:val="20"/>
        </w:rPr>
        <w:t xml:space="preserve">mensais </w:t>
      </w:r>
      <w:r>
        <w:rPr>
          <w:rFonts w:ascii="Arial" w:hAnsi="Arial" w:cs="Arial"/>
          <w:sz w:val="20"/>
          <w:szCs w:val="20"/>
        </w:rPr>
        <w:t xml:space="preserve">de </w:t>
      </w:r>
      <w:r w:rsidRPr="00187567">
        <w:rPr>
          <w:rFonts w:ascii="Arial" w:hAnsi="Arial" w:cs="Arial"/>
          <w:sz w:val="20"/>
          <w:szCs w:val="20"/>
        </w:rPr>
        <w:t>acompanhamento das aplicações elaborados pela AMPREV</w:t>
      </w:r>
      <w:r w:rsidR="00996376" w:rsidRPr="00187567">
        <w:rPr>
          <w:rFonts w:ascii="Arial" w:hAnsi="Arial" w:cs="Arial"/>
          <w:sz w:val="20"/>
          <w:szCs w:val="20"/>
        </w:rPr>
        <w:t>,</w:t>
      </w:r>
      <w:r w:rsidR="007F36D4">
        <w:rPr>
          <w:rFonts w:ascii="Arial" w:hAnsi="Arial" w:cs="Arial"/>
          <w:sz w:val="20"/>
          <w:szCs w:val="20"/>
        </w:rPr>
        <w:t xml:space="preserve"> </w:t>
      </w:r>
      <w:r w:rsidR="00CA1D18" w:rsidRPr="00187567">
        <w:rPr>
          <w:rFonts w:ascii="Arial" w:hAnsi="Arial" w:cs="Arial"/>
          <w:sz w:val="20"/>
          <w:szCs w:val="20"/>
        </w:rPr>
        <w:t xml:space="preserve">serão </w:t>
      </w:r>
      <w:r w:rsidRPr="00187567">
        <w:rPr>
          <w:rFonts w:ascii="Arial" w:hAnsi="Arial" w:cs="Arial"/>
          <w:sz w:val="20"/>
          <w:szCs w:val="20"/>
        </w:rPr>
        <w:t xml:space="preserve">encaminhados para </w:t>
      </w:r>
      <w:r w:rsidR="0004265F" w:rsidRPr="00187567">
        <w:rPr>
          <w:rFonts w:ascii="Arial" w:hAnsi="Arial" w:cs="Arial"/>
          <w:sz w:val="20"/>
          <w:szCs w:val="20"/>
        </w:rPr>
        <w:t xml:space="preserve">o Comitê de Investimentos, </w:t>
      </w:r>
      <w:r w:rsidR="00CA1D18" w:rsidRPr="00187567">
        <w:rPr>
          <w:rFonts w:ascii="Arial" w:hAnsi="Arial" w:cs="Arial"/>
          <w:sz w:val="20"/>
          <w:szCs w:val="20"/>
        </w:rPr>
        <w:t>para análise do</w:t>
      </w:r>
      <w:r w:rsidRPr="00187567">
        <w:rPr>
          <w:rFonts w:ascii="Arial" w:hAnsi="Arial" w:cs="Arial"/>
          <w:sz w:val="20"/>
          <w:szCs w:val="20"/>
        </w:rPr>
        <w:t xml:space="preserve"> comportamento das aplicações </w:t>
      </w:r>
      <w:r w:rsidR="00CA1D18" w:rsidRPr="00187567">
        <w:rPr>
          <w:rFonts w:ascii="Arial" w:hAnsi="Arial" w:cs="Arial"/>
          <w:sz w:val="20"/>
          <w:szCs w:val="20"/>
        </w:rPr>
        <w:t xml:space="preserve">de acordo com a </w:t>
      </w:r>
      <w:r w:rsidRPr="00187567">
        <w:rPr>
          <w:rFonts w:ascii="Arial" w:hAnsi="Arial" w:cs="Arial"/>
          <w:sz w:val="20"/>
          <w:szCs w:val="20"/>
        </w:rPr>
        <w:t>legislação vigente.</w:t>
      </w:r>
    </w:p>
    <w:p w:rsidR="00F10657" w:rsidRPr="00187567" w:rsidRDefault="00AC3079" w:rsidP="00D64BCE">
      <w:pPr>
        <w:spacing w:after="120" w:line="312" w:lineRule="auto"/>
        <w:ind w:firstLine="1418"/>
        <w:jc w:val="both"/>
        <w:rPr>
          <w:rFonts w:ascii="Arial" w:hAnsi="Arial" w:cs="Arial"/>
          <w:sz w:val="20"/>
          <w:szCs w:val="20"/>
        </w:rPr>
      </w:pPr>
      <w:r w:rsidRPr="00187567">
        <w:rPr>
          <w:rFonts w:ascii="Arial" w:hAnsi="Arial" w:cs="Arial"/>
          <w:sz w:val="20"/>
          <w:szCs w:val="20"/>
        </w:rPr>
        <w:t>Esses</w:t>
      </w:r>
      <w:r w:rsidR="004C3FAD" w:rsidRPr="00187567">
        <w:rPr>
          <w:rFonts w:ascii="Arial" w:hAnsi="Arial" w:cs="Arial"/>
          <w:sz w:val="20"/>
          <w:szCs w:val="20"/>
        </w:rPr>
        <w:t xml:space="preserve"> relatórios </w:t>
      </w:r>
      <w:r w:rsidR="00F10657" w:rsidRPr="00187567">
        <w:rPr>
          <w:rFonts w:ascii="Arial" w:hAnsi="Arial" w:cs="Arial"/>
          <w:sz w:val="20"/>
          <w:szCs w:val="20"/>
        </w:rPr>
        <w:t>s</w:t>
      </w:r>
      <w:r w:rsidR="00F14F6E" w:rsidRPr="00187567">
        <w:rPr>
          <w:rFonts w:ascii="Arial" w:hAnsi="Arial" w:cs="Arial"/>
          <w:sz w:val="20"/>
          <w:szCs w:val="20"/>
        </w:rPr>
        <w:t xml:space="preserve">erão </w:t>
      </w:r>
      <w:r w:rsidR="00CA1D18" w:rsidRPr="00187567">
        <w:rPr>
          <w:rFonts w:ascii="Arial" w:hAnsi="Arial" w:cs="Arial"/>
          <w:sz w:val="20"/>
          <w:szCs w:val="20"/>
        </w:rPr>
        <w:t xml:space="preserve">encaminhados ao Conselho Fiscal e ao Conselho Estadual de Previdência, </w:t>
      </w:r>
      <w:r w:rsidR="009D3E30" w:rsidRPr="00187567">
        <w:rPr>
          <w:rFonts w:ascii="Arial" w:hAnsi="Arial" w:cs="Arial"/>
          <w:sz w:val="20"/>
          <w:szCs w:val="20"/>
        </w:rPr>
        <w:t xml:space="preserve">e </w:t>
      </w:r>
      <w:r w:rsidR="00F10657" w:rsidRPr="00187567">
        <w:rPr>
          <w:rFonts w:ascii="Arial" w:hAnsi="Arial" w:cs="Arial"/>
          <w:sz w:val="20"/>
          <w:szCs w:val="20"/>
        </w:rPr>
        <w:t xml:space="preserve">mantidos </w:t>
      </w:r>
      <w:r w:rsidR="00D12887" w:rsidRPr="00187567">
        <w:rPr>
          <w:rFonts w:ascii="Arial" w:hAnsi="Arial" w:cs="Arial"/>
          <w:sz w:val="20"/>
          <w:szCs w:val="20"/>
        </w:rPr>
        <w:t>pel</w:t>
      </w:r>
      <w:r w:rsidR="00C00C99" w:rsidRPr="00187567">
        <w:rPr>
          <w:rFonts w:ascii="Arial" w:hAnsi="Arial" w:cs="Arial"/>
          <w:sz w:val="20"/>
          <w:szCs w:val="20"/>
        </w:rPr>
        <w:t>a</w:t>
      </w:r>
      <w:r w:rsidR="00D12887" w:rsidRPr="00187567">
        <w:rPr>
          <w:rFonts w:ascii="Arial" w:hAnsi="Arial" w:cs="Arial"/>
          <w:sz w:val="20"/>
          <w:szCs w:val="20"/>
        </w:rPr>
        <w:t xml:space="preserve"> AMPREV</w:t>
      </w:r>
      <w:r w:rsidR="00F10657" w:rsidRPr="00187567">
        <w:rPr>
          <w:rFonts w:ascii="Arial" w:hAnsi="Arial" w:cs="Arial"/>
          <w:sz w:val="20"/>
          <w:szCs w:val="20"/>
        </w:rPr>
        <w:t xml:space="preserve"> à disposição do </w:t>
      </w:r>
      <w:r w:rsidR="009D3E30" w:rsidRPr="00187567">
        <w:rPr>
          <w:rFonts w:ascii="Arial" w:hAnsi="Arial" w:cs="Arial"/>
          <w:sz w:val="20"/>
          <w:szCs w:val="20"/>
        </w:rPr>
        <w:t xml:space="preserve">Tribunal de Contas do Estado e </w:t>
      </w:r>
      <w:r w:rsidR="00F10657" w:rsidRPr="00187567">
        <w:rPr>
          <w:rFonts w:ascii="Arial" w:hAnsi="Arial" w:cs="Arial"/>
          <w:sz w:val="20"/>
          <w:szCs w:val="20"/>
        </w:rPr>
        <w:t>Ministério da Previdência Social</w:t>
      </w:r>
      <w:r w:rsidR="00C82FF3">
        <w:rPr>
          <w:rFonts w:ascii="Arial" w:hAnsi="Arial" w:cs="Arial"/>
          <w:sz w:val="20"/>
          <w:szCs w:val="20"/>
        </w:rPr>
        <w:t xml:space="preserve"> </w:t>
      </w:r>
      <w:r w:rsidR="00C00C99" w:rsidRPr="00187567">
        <w:rPr>
          <w:rFonts w:ascii="Arial" w:hAnsi="Arial" w:cs="Arial"/>
          <w:sz w:val="20"/>
          <w:szCs w:val="20"/>
        </w:rPr>
        <w:t>e demais órgãos fiscalizadores</w:t>
      </w:r>
      <w:r w:rsidR="00F10657" w:rsidRPr="00187567">
        <w:rPr>
          <w:rFonts w:ascii="Arial" w:hAnsi="Arial" w:cs="Arial"/>
          <w:sz w:val="20"/>
          <w:szCs w:val="20"/>
        </w:rPr>
        <w:t>.</w:t>
      </w:r>
    </w:p>
    <w:p w:rsidR="00EF39D4" w:rsidRDefault="00EF39D4" w:rsidP="00D64BCE">
      <w:pPr>
        <w:spacing w:after="360" w:line="312" w:lineRule="auto"/>
        <w:ind w:firstLine="1418"/>
        <w:jc w:val="both"/>
        <w:rPr>
          <w:rFonts w:ascii="Arial" w:hAnsi="Arial" w:cs="Arial"/>
          <w:sz w:val="20"/>
          <w:szCs w:val="20"/>
        </w:rPr>
      </w:pPr>
      <w:r w:rsidRPr="00187567">
        <w:rPr>
          <w:rFonts w:ascii="Arial" w:hAnsi="Arial" w:cs="Arial"/>
          <w:sz w:val="20"/>
          <w:szCs w:val="20"/>
        </w:rPr>
        <w:t xml:space="preserve">Caberá ao </w:t>
      </w:r>
      <w:r w:rsidR="009D3E30" w:rsidRPr="00187567">
        <w:rPr>
          <w:rFonts w:ascii="Arial" w:hAnsi="Arial" w:cs="Arial"/>
          <w:sz w:val="20"/>
          <w:szCs w:val="20"/>
        </w:rPr>
        <w:t>Conselho Estadual de Previdência</w:t>
      </w:r>
      <w:r w:rsidRPr="00187567">
        <w:rPr>
          <w:rFonts w:ascii="Arial" w:hAnsi="Arial" w:cs="Arial"/>
          <w:sz w:val="20"/>
          <w:szCs w:val="20"/>
        </w:rPr>
        <w:t xml:space="preserve"> acompanhar a</w:t>
      </w:r>
      <w:r w:rsidR="009D3E30" w:rsidRPr="00187567">
        <w:rPr>
          <w:rFonts w:ascii="Arial" w:hAnsi="Arial" w:cs="Arial"/>
          <w:sz w:val="20"/>
          <w:szCs w:val="20"/>
        </w:rPr>
        <w:t xml:space="preserve"> execução da</w:t>
      </w:r>
      <w:r w:rsidRPr="00187567">
        <w:rPr>
          <w:rFonts w:ascii="Arial" w:hAnsi="Arial" w:cs="Arial"/>
          <w:sz w:val="20"/>
          <w:szCs w:val="20"/>
        </w:rPr>
        <w:t xml:space="preserve"> Política de Investimentos</w:t>
      </w:r>
      <w:r w:rsidRPr="00CF0E68">
        <w:rPr>
          <w:rFonts w:ascii="Arial" w:hAnsi="Arial" w:cs="Arial"/>
          <w:sz w:val="20"/>
          <w:szCs w:val="20"/>
        </w:rPr>
        <w:t xml:space="preserve"> e sua legal</w:t>
      </w:r>
      <w:r w:rsidR="00E362C7">
        <w:rPr>
          <w:rFonts w:ascii="Arial" w:hAnsi="Arial" w:cs="Arial"/>
          <w:sz w:val="20"/>
          <w:szCs w:val="20"/>
        </w:rPr>
        <w:t>idade,</w:t>
      </w:r>
      <w:r w:rsidRPr="00CF0E68">
        <w:rPr>
          <w:rFonts w:ascii="Arial" w:hAnsi="Arial" w:cs="Arial"/>
          <w:sz w:val="20"/>
          <w:szCs w:val="20"/>
        </w:rPr>
        <w:t xml:space="preserve"> analisando a efetiva aplicação dos dispositivos</w:t>
      </w:r>
      <w:r w:rsidR="00533667">
        <w:rPr>
          <w:rFonts w:ascii="Arial" w:hAnsi="Arial" w:cs="Arial"/>
          <w:sz w:val="20"/>
          <w:szCs w:val="20"/>
        </w:rPr>
        <w:t xml:space="preserve"> legais.</w:t>
      </w:r>
    </w:p>
    <w:p w:rsidR="00533667" w:rsidRDefault="00533667" w:rsidP="00D64BCE">
      <w:pPr>
        <w:spacing w:after="360" w:line="312" w:lineRule="auto"/>
        <w:ind w:firstLine="1418"/>
        <w:jc w:val="both"/>
        <w:rPr>
          <w:rFonts w:ascii="Arial" w:hAnsi="Arial" w:cs="Arial"/>
          <w:sz w:val="20"/>
          <w:szCs w:val="20"/>
        </w:rPr>
      </w:pPr>
    </w:p>
    <w:p w:rsidR="00104A67" w:rsidRPr="00CF0E68" w:rsidRDefault="00104A67" w:rsidP="00D64BCE">
      <w:pPr>
        <w:spacing w:after="360" w:line="312" w:lineRule="auto"/>
        <w:ind w:firstLine="1418"/>
        <w:jc w:val="both"/>
        <w:rPr>
          <w:rFonts w:ascii="Arial" w:hAnsi="Arial" w:cs="Arial"/>
          <w:sz w:val="20"/>
          <w:szCs w:val="20"/>
        </w:rPr>
      </w:pPr>
    </w:p>
    <w:p w:rsidR="00815DF4" w:rsidRPr="00D64BCE" w:rsidRDefault="009A0C76" w:rsidP="00206E20">
      <w:pPr>
        <w:spacing w:after="120" w:line="312" w:lineRule="auto"/>
        <w:jc w:val="both"/>
        <w:rPr>
          <w:rFonts w:ascii="Arial" w:hAnsi="Arial" w:cs="Arial"/>
          <w:sz w:val="20"/>
          <w:szCs w:val="20"/>
        </w:rPr>
      </w:pPr>
      <w:bookmarkStart w:id="30" w:name="_Toc184817258"/>
      <w:bookmarkStart w:id="31" w:name="OLE_LINK7"/>
      <w:r w:rsidRPr="00D64BCE">
        <w:rPr>
          <w:rFonts w:ascii="Arial" w:hAnsi="Arial" w:cs="Arial"/>
          <w:b/>
          <w:bCs/>
          <w:smallCaps/>
          <w:sz w:val="20"/>
          <w:szCs w:val="20"/>
        </w:rPr>
        <w:lastRenderedPageBreak/>
        <w:t>6.</w:t>
      </w:r>
      <w:r w:rsidR="00AC3079" w:rsidRPr="00D64BCE">
        <w:rPr>
          <w:rFonts w:ascii="Arial" w:hAnsi="Arial" w:cs="Arial"/>
          <w:b/>
          <w:bCs/>
          <w:smallCaps/>
          <w:sz w:val="20"/>
          <w:szCs w:val="20"/>
        </w:rPr>
        <w:t>6</w:t>
      </w:r>
      <w:r w:rsidR="00F1149A" w:rsidRPr="00D64BCE">
        <w:rPr>
          <w:rFonts w:ascii="Arial" w:hAnsi="Arial" w:cs="Arial"/>
          <w:b/>
          <w:bCs/>
          <w:smallCaps/>
          <w:sz w:val="20"/>
          <w:szCs w:val="20"/>
        </w:rPr>
        <w:t>.</w:t>
      </w:r>
      <w:r w:rsidR="00D64BCE" w:rsidRPr="00D64BCE">
        <w:rPr>
          <w:rFonts w:ascii="Arial" w:hAnsi="Arial" w:cs="Arial"/>
          <w:b/>
          <w:bCs/>
          <w:smallCaps/>
          <w:sz w:val="20"/>
          <w:szCs w:val="20"/>
        </w:rPr>
        <w:t xml:space="preserve"> CONTROLES DE RISCO DE MERCADO</w:t>
      </w:r>
    </w:p>
    <w:p w:rsidR="00014027" w:rsidRPr="00187567" w:rsidRDefault="00014027" w:rsidP="00D64BCE">
      <w:pPr>
        <w:spacing w:after="120" w:line="312" w:lineRule="auto"/>
        <w:ind w:firstLine="1418"/>
        <w:jc w:val="both"/>
        <w:rPr>
          <w:rFonts w:ascii="Arial" w:hAnsi="Arial" w:cs="Arial"/>
          <w:sz w:val="20"/>
        </w:rPr>
      </w:pPr>
      <w:r w:rsidRPr="00187567">
        <w:rPr>
          <w:rFonts w:ascii="Arial" w:hAnsi="Arial" w:cs="Arial"/>
          <w:sz w:val="20"/>
        </w:rPr>
        <w:t xml:space="preserve">Para o controle do risco de mercado, os principais indicadores técnicos </w:t>
      </w:r>
      <w:r w:rsidR="00646A0D" w:rsidRPr="00187567">
        <w:rPr>
          <w:rFonts w:ascii="Arial" w:hAnsi="Arial" w:cs="Arial"/>
          <w:sz w:val="20"/>
        </w:rPr>
        <w:t>que poderão ser utilizados pela AMPREV</w:t>
      </w:r>
      <w:r w:rsidRPr="00187567">
        <w:rPr>
          <w:rFonts w:ascii="Arial" w:hAnsi="Arial" w:cs="Arial"/>
          <w:sz w:val="20"/>
        </w:rPr>
        <w:t xml:space="preserve"> são a </w:t>
      </w:r>
      <w:r w:rsidRPr="00187567">
        <w:rPr>
          <w:rFonts w:ascii="Arial" w:hAnsi="Arial" w:cs="Arial"/>
          <w:b/>
          <w:sz w:val="20"/>
        </w:rPr>
        <w:t>Volatilidade</w:t>
      </w:r>
      <w:r w:rsidRPr="00187567">
        <w:rPr>
          <w:rFonts w:ascii="Arial" w:hAnsi="Arial" w:cs="Arial"/>
          <w:sz w:val="20"/>
        </w:rPr>
        <w:t xml:space="preserve">, o </w:t>
      </w:r>
      <w:r w:rsidRPr="00187567">
        <w:rPr>
          <w:rFonts w:ascii="Arial" w:hAnsi="Arial" w:cs="Arial"/>
          <w:b/>
          <w:sz w:val="20"/>
        </w:rPr>
        <w:t xml:space="preserve">Índice de </w:t>
      </w:r>
      <w:r w:rsidRPr="00187567">
        <w:rPr>
          <w:rFonts w:ascii="Arial" w:hAnsi="Arial" w:cs="Arial"/>
          <w:b/>
          <w:i/>
          <w:sz w:val="20"/>
        </w:rPr>
        <w:t>Sharpe</w:t>
      </w:r>
      <w:r w:rsidRPr="00187567">
        <w:rPr>
          <w:rFonts w:ascii="Arial" w:hAnsi="Arial" w:cs="Arial"/>
          <w:sz w:val="20"/>
        </w:rPr>
        <w:t xml:space="preserve">, o </w:t>
      </w:r>
      <w:r w:rsidRPr="00187567">
        <w:rPr>
          <w:rFonts w:ascii="Arial" w:hAnsi="Arial" w:cs="Arial"/>
          <w:b/>
          <w:sz w:val="20"/>
        </w:rPr>
        <w:t xml:space="preserve">Índice de </w:t>
      </w:r>
      <w:r w:rsidRPr="00187567">
        <w:rPr>
          <w:rFonts w:ascii="Arial" w:hAnsi="Arial" w:cs="Arial"/>
          <w:b/>
          <w:i/>
          <w:sz w:val="20"/>
        </w:rPr>
        <w:t>Treynor</w:t>
      </w:r>
      <w:r w:rsidRPr="00187567">
        <w:rPr>
          <w:rFonts w:ascii="Arial" w:hAnsi="Arial" w:cs="Arial"/>
          <w:sz w:val="20"/>
        </w:rPr>
        <w:t xml:space="preserve"> e o </w:t>
      </w:r>
      <w:r w:rsidRPr="00187567">
        <w:rPr>
          <w:rFonts w:ascii="Arial" w:hAnsi="Arial" w:cs="Arial"/>
          <w:b/>
          <w:i/>
          <w:sz w:val="20"/>
        </w:rPr>
        <w:t>VaR (Value-at-Risk)</w:t>
      </w:r>
      <w:r w:rsidRPr="00187567">
        <w:rPr>
          <w:rFonts w:ascii="Arial" w:hAnsi="Arial" w:cs="Arial"/>
          <w:sz w:val="20"/>
        </w:rPr>
        <w:t>.</w:t>
      </w:r>
    </w:p>
    <w:p w:rsidR="00014027" w:rsidRPr="00187567" w:rsidRDefault="00014027" w:rsidP="00D64BCE">
      <w:pPr>
        <w:spacing w:after="120" w:line="312" w:lineRule="auto"/>
        <w:ind w:firstLine="1418"/>
        <w:jc w:val="both"/>
        <w:rPr>
          <w:rFonts w:ascii="Arial" w:hAnsi="Arial" w:cs="Arial"/>
          <w:sz w:val="20"/>
        </w:rPr>
      </w:pPr>
      <w:r w:rsidRPr="00187567">
        <w:rPr>
          <w:rFonts w:ascii="Arial" w:hAnsi="Arial" w:cs="Arial"/>
          <w:sz w:val="20"/>
        </w:rPr>
        <w:t>Desta forma, confrontam-se análises de risco versus retorno dos produtos que compõe</w:t>
      </w:r>
      <w:r w:rsidR="00063CFF" w:rsidRPr="00187567">
        <w:rPr>
          <w:rFonts w:ascii="Arial" w:hAnsi="Arial" w:cs="Arial"/>
          <w:sz w:val="20"/>
        </w:rPr>
        <w:t>m</w:t>
      </w:r>
      <w:r w:rsidRPr="00187567">
        <w:rPr>
          <w:rFonts w:ascii="Arial" w:hAnsi="Arial" w:cs="Arial"/>
          <w:sz w:val="20"/>
        </w:rPr>
        <w:t xml:space="preserve"> a carteira de investimentos </w:t>
      </w:r>
      <w:r w:rsidR="00815DF4" w:rsidRPr="00187567">
        <w:rPr>
          <w:rFonts w:ascii="Arial" w:hAnsi="Arial" w:cs="Arial"/>
          <w:sz w:val="20"/>
        </w:rPr>
        <w:t xml:space="preserve">da </w:t>
      </w:r>
      <w:r w:rsidR="00063CFF" w:rsidRPr="00187567">
        <w:rPr>
          <w:rFonts w:ascii="Arial" w:hAnsi="Arial" w:cs="Arial"/>
          <w:sz w:val="20"/>
        </w:rPr>
        <w:t>AMPREV</w:t>
      </w:r>
      <w:r w:rsidRPr="00187567">
        <w:rPr>
          <w:rFonts w:ascii="Arial" w:hAnsi="Arial" w:cs="Arial"/>
          <w:sz w:val="20"/>
        </w:rPr>
        <w:t>, sendo possível gerar fronteiras eficientes de risco e retorno visando à otimização de resultados na gestão dos investimentos.</w:t>
      </w:r>
    </w:p>
    <w:p w:rsidR="00014027" w:rsidRDefault="00014027" w:rsidP="00D64BCE">
      <w:pPr>
        <w:spacing w:after="120" w:line="312" w:lineRule="auto"/>
        <w:ind w:firstLine="1418"/>
        <w:jc w:val="both"/>
        <w:rPr>
          <w:rFonts w:ascii="Arial" w:hAnsi="Arial" w:cs="Arial"/>
          <w:color w:val="000000"/>
          <w:sz w:val="20"/>
        </w:rPr>
      </w:pPr>
      <w:r w:rsidRPr="00187567">
        <w:rPr>
          <w:rFonts w:ascii="Arial" w:hAnsi="Arial" w:cs="Arial"/>
          <w:sz w:val="20"/>
        </w:rPr>
        <w:t xml:space="preserve">A </w:t>
      </w:r>
      <w:r w:rsidRPr="00187567">
        <w:rPr>
          <w:rFonts w:ascii="Arial" w:hAnsi="Arial" w:cs="Arial"/>
          <w:b/>
          <w:sz w:val="20"/>
        </w:rPr>
        <w:t>Volatilidade</w:t>
      </w:r>
      <w:r w:rsidRPr="00187567">
        <w:rPr>
          <w:rFonts w:ascii="Arial" w:hAnsi="Arial" w:cs="Arial"/>
          <w:sz w:val="20"/>
        </w:rPr>
        <w:t xml:space="preserve"> é uma das mais importantes ferramentas para quem atua no mercado de opções</w:t>
      </w:r>
      <w:r w:rsidR="00996376" w:rsidRPr="00187567">
        <w:rPr>
          <w:rFonts w:ascii="Arial" w:hAnsi="Arial" w:cs="Arial"/>
          <w:sz w:val="20"/>
        </w:rPr>
        <w:t xml:space="preserve">, sendo </w:t>
      </w:r>
      <w:r w:rsidR="009D3E30" w:rsidRPr="00187567">
        <w:rPr>
          <w:rFonts w:ascii="Arial" w:hAnsi="Arial" w:cs="Arial"/>
          <w:sz w:val="20"/>
        </w:rPr>
        <w:t>est</w:t>
      </w:r>
      <w:r w:rsidR="007F36D4">
        <w:rPr>
          <w:rFonts w:ascii="Arial" w:hAnsi="Arial" w:cs="Arial"/>
          <w:sz w:val="20"/>
        </w:rPr>
        <w:t>á</w:t>
      </w:r>
      <w:r w:rsidRPr="00187567">
        <w:rPr>
          <w:rFonts w:ascii="Arial" w:hAnsi="Arial" w:cs="Arial"/>
          <w:sz w:val="20"/>
        </w:rPr>
        <w:t xml:space="preserve"> grau médio de variação das cotações de um determinado ativo</w:t>
      </w:r>
      <w:r w:rsidR="00063CFF" w:rsidRPr="00187567">
        <w:rPr>
          <w:rFonts w:ascii="Arial" w:hAnsi="Arial" w:cs="Arial"/>
          <w:sz w:val="20"/>
        </w:rPr>
        <w:t>,</w:t>
      </w:r>
      <w:r w:rsidRPr="00187567">
        <w:rPr>
          <w:rFonts w:ascii="Arial" w:hAnsi="Arial" w:cs="Arial"/>
          <w:sz w:val="20"/>
        </w:rPr>
        <w:t xml:space="preserve"> em </w:t>
      </w:r>
      <w:r w:rsidR="00063CFF" w:rsidRPr="00187567">
        <w:rPr>
          <w:rFonts w:ascii="Arial" w:hAnsi="Arial" w:cs="Arial"/>
          <w:sz w:val="20"/>
        </w:rPr>
        <w:t>certo</w:t>
      </w:r>
      <w:r w:rsidRPr="00187567">
        <w:rPr>
          <w:rFonts w:ascii="Arial" w:hAnsi="Arial" w:cs="Arial"/>
          <w:sz w:val="20"/>
        </w:rPr>
        <w:t xml:space="preserve"> período</w:t>
      </w:r>
      <w:r w:rsidR="00996376" w:rsidRPr="00187567">
        <w:rPr>
          <w:rFonts w:ascii="Arial" w:hAnsi="Arial" w:cs="Arial"/>
          <w:sz w:val="20"/>
        </w:rPr>
        <w:t>,</w:t>
      </w:r>
      <w:r w:rsidR="00104A67">
        <w:rPr>
          <w:rFonts w:ascii="Arial" w:hAnsi="Arial" w:cs="Arial"/>
          <w:sz w:val="20"/>
        </w:rPr>
        <w:t xml:space="preserve"> </w:t>
      </w:r>
      <w:r w:rsidR="00996376" w:rsidRPr="00187567">
        <w:rPr>
          <w:rFonts w:ascii="Arial" w:hAnsi="Arial" w:cs="Arial"/>
          <w:sz w:val="20"/>
        </w:rPr>
        <w:t>constituindo,</w:t>
      </w:r>
      <w:r w:rsidR="00063CFF" w:rsidRPr="00187567">
        <w:rPr>
          <w:rFonts w:ascii="Arial" w:hAnsi="Arial" w:cs="Arial"/>
          <w:sz w:val="20"/>
        </w:rPr>
        <w:t xml:space="preserve"> dent</w:t>
      </w:r>
      <w:r w:rsidR="00CE6CF2" w:rsidRPr="00187567">
        <w:rPr>
          <w:rFonts w:ascii="Arial" w:hAnsi="Arial" w:cs="Arial"/>
          <w:sz w:val="20"/>
        </w:rPr>
        <w:t>r</w:t>
      </w:r>
      <w:r w:rsidR="00063CFF" w:rsidRPr="00187567">
        <w:rPr>
          <w:rFonts w:ascii="Arial" w:hAnsi="Arial" w:cs="Arial"/>
          <w:sz w:val="20"/>
        </w:rPr>
        <w:t>o</w:t>
      </w:r>
      <w:r w:rsidR="00063CFF">
        <w:rPr>
          <w:rFonts w:ascii="Arial" w:hAnsi="Arial" w:cs="Arial"/>
          <w:color w:val="000000"/>
          <w:sz w:val="20"/>
        </w:rPr>
        <w:t xml:space="preserve"> de certa linha de visão causal,</w:t>
      </w:r>
      <w:r w:rsidRPr="00C0364F">
        <w:rPr>
          <w:rFonts w:ascii="Arial" w:hAnsi="Arial" w:cs="Arial"/>
          <w:color w:val="000000"/>
          <w:sz w:val="20"/>
        </w:rPr>
        <w:t xml:space="preserve"> medida d</w:t>
      </w:r>
      <w:r w:rsidR="00063CFF">
        <w:rPr>
          <w:rFonts w:ascii="Arial" w:hAnsi="Arial" w:cs="Arial"/>
          <w:color w:val="000000"/>
          <w:sz w:val="20"/>
        </w:rPr>
        <w:t>e</w:t>
      </w:r>
      <w:r w:rsidRPr="00C0364F">
        <w:rPr>
          <w:rFonts w:ascii="Arial" w:hAnsi="Arial" w:cs="Arial"/>
          <w:color w:val="000000"/>
          <w:sz w:val="20"/>
        </w:rPr>
        <w:t xml:space="preserve"> velocidade do mercado, </w:t>
      </w:r>
      <w:r w:rsidR="00063CFF">
        <w:rPr>
          <w:rFonts w:ascii="Arial" w:hAnsi="Arial" w:cs="Arial"/>
          <w:color w:val="000000"/>
          <w:sz w:val="20"/>
        </w:rPr>
        <w:t>revelando os q</w:t>
      </w:r>
      <w:r w:rsidRPr="00C0364F">
        <w:rPr>
          <w:rFonts w:ascii="Arial" w:hAnsi="Arial" w:cs="Arial"/>
          <w:color w:val="000000"/>
          <w:sz w:val="20"/>
        </w:rPr>
        <w:t>ue se movem lentamente</w:t>
      </w:r>
      <w:r w:rsidR="00063CFF">
        <w:rPr>
          <w:rFonts w:ascii="Arial" w:hAnsi="Arial" w:cs="Arial"/>
          <w:color w:val="000000"/>
          <w:sz w:val="20"/>
        </w:rPr>
        <w:t xml:space="preserve"> e</w:t>
      </w:r>
      <w:r w:rsidRPr="00C0364F">
        <w:rPr>
          <w:rFonts w:ascii="Arial" w:hAnsi="Arial" w:cs="Arial"/>
          <w:color w:val="000000"/>
          <w:sz w:val="20"/>
        </w:rPr>
        <w:t xml:space="preserve"> são de baixa volatilidade e</w:t>
      </w:r>
      <w:r w:rsidR="00063CFF">
        <w:rPr>
          <w:rFonts w:ascii="Arial" w:hAnsi="Arial" w:cs="Arial"/>
          <w:color w:val="000000"/>
          <w:sz w:val="20"/>
        </w:rPr>
        <w:t>, em contrapartida,</w:t>
      </w:r>
      <w:r w:rsidRPr="00C0364F">
        <w:rPr>
          <w:rFonts w:ascii="Arial" w:hAnsi="Arial" w:cs="Arial"/>
          <w:color w:val="000000"/>
          <w:sz w:val="20"/>
        </w:rPr>
        <w:t xml:space="preserve"> os que se mo</w:t>
      </w:r>
      <w:r w:rsidR="00063CFF">
        <w:rPr>
          <w:rFonts w:ascii="Arial" w:hAnsi="Arial" w:cs="Arial"/>
          <w:color w:val="000000"/>
          <w:sz w:val="20"/>
        </w:rPr>
        <w:t>vimentam</w:t>
      </w:r>
      <w:r w:rsidRPr="00C0364F">
        <w:rPr>
          <w:rFonts w:ascii="Arial" w:hAnsi="Arial" w:cs="Arial"/>
          <w:color w:val="000000"/>
          <w:sz w:val="20"/>
        </w:rPr>
        <w:t xml:space="preserve"> rapidamente</w:t>
      </w:r>
      <w:r w:rsidR="00063CFF">
        <w:rPr>
          <w:rFonts w:ascii="Arial" w:hAnsi="Arial" w:cs="Arial"/>
          <w:color w:val="000000"/>
          <w:sz w:val="20"/>
        </w:rPr>
        <w:t xml:space="preserve"> e denotam </w:t>
      </w:r>
      <w:r w:rsidRPr="00C0364F">
        <w:rPr>
          <w:rFonts w:ascii="Arial" w:hAnsi="Arial" w:cs="Arial"/>
          <w:color w:val="000000"/>
          <w:sz w:val="20"/>
        </w:rPr>
        <w:t>alta volatilidade</w:t>
      </w:r>
      <w:r>
        <w:rPr>
          <w:rFonts w:ascii="Arial" w:hAnsi="Arial" w:cs="Arial"/>
          <w:color w:val="000000"/>
          <w:sz w:val="20"/>
        </w:rPr>
        <w:t>.</w:t>
      </w:r>
    </w:p>
    <w:p w:rsidR="00014027" w:rsidRDefault="00014027" w:rsidP="00BF74A4">
      <w:pPr>
        <w:spacing w:after="60" w:line="312" w:lineRule="auto"/>
        <w:ind w:firstLine="1418"/>
        <w:jc w:val="both"/>
        <w:rPr>
          <w:rFonts w:ascii="Arial" w:hAnsi="Arial" w:cs="Arial"/>
          <w:color w:val="000000"/>
          <w:sz w:val="20"/>
        </w:rPr>
      </w:pPr>
      <w:r>
        <w:rPr>
          <w:rFonts w:ascii="Arial" w:hAnsi="Arial" w:cs="Arial"/>
          <w:sz w:val="20"/>
        </w:rPr>
        <w:t xml:space="preserve">O </w:t>
      </w:r>
      <w:r w:rsidRPr="003107D5">
        <w:rPr>
          <w:rFonts w:ascii="Arial" w:hAnsi="Arial" w:cs="Arial"/>
          <w:b/>
          <w:sz w:val="20"/>
        </w:rPr>
        <w:t xml:space="preserve">Índice de </w:t>
      </w:r>
      <w:r w:rsidRPr="001E56D9">
        <w:rPr>
          <w:rFonts w:ascii="Arial" w:hAnsi="Arial" w:cs="Arial"/>
          <w:b/>
          <w:i/>
          <w:sz w:val="20"/>
        </w:rPr>
        <w:t>Sharpe</w:t>
      </w:r>
      <w:r>
        <w:rPr>
          <w:rFonts w:ascii="Arial" w:hAnsi="Arial" w:cs="Arial"/>
          <w:sz w:val="20"/>
        </w:rPr>
        <w:t xml:space="preserve">é </w:t>
      </w:r>
      <w:r w:rsidRPr="009E6466">
        <w:rPr>
          <w:rFonts w:ascii="Arial" w:hAnsi="Arial" w:cs="Arial"/>
          <w:sz w:val="20"/>
        </w:rPr>
        <w:t>utilizado para medir a</w:t>
      </w:r>
      <w:r>
        <w:rPr>
          <w:rFonts w:ascii="Arial" w:hAnsi="Arial" w:cs="Arial"/>
          <w:sz w:val="20"/>
        </w:rPr>
        <w:t xml:space="preserve"> relação retorno/risco</w:t>
      </w:r>
      <w:r w:rsidRPr="009E6466">
        <w:rPr>
          <w:rFonts w:ascii="Arial" w:hAnsi="Arial" w:cs="Arial"/>
          <w:sz w:val="20"/>
        </w:rPr>
        <w:t xml:space="preserve"> existente nos investimentos. Corresponde ao prêmio-risco dividido pelo desvio-padrão, onde o prêmio-risco equivale à rentabilidade média diminuída de uma taxa considerada livre de risco</w:t>
      </w:r>
      <w:r>
        <w:rPr>
          <w:rFonts w:ascii="Arial" w:hAnsi="Arial" w:cs="Arial"/>
          <w:sz w:val="20"/>
        </w:rPr>
        <w:t xml:space="preserve">, ou seja, </w:t>
      </w:r>
      <w:r w:rsidRPr="00B67282">
        <w:rPr>
          <w:rFonts w:ascii="Arial" w:hAnsi="Arial" w:cs="Arial"/>
          <w:color w:val="000000"/>
          <w:sz w:val="20"/>
        </w:rPr>
        <w:t xml:space="preserve">quanto maior o retorno e menor o risco, maior será o índice de </w:t>
      </w:r>
      <w:r w:rsidRPr="001E56D9">
        <w:rPr>
          <w:rFonts w:ascii="Arial" w:hAnsi="Arial" w:cs="Arial"/>
          <w:i/>
          <w:color w:val="000000"/>
          <w:sz w:val="20"/>
        </w:rPr>
        <w:t>Sharpe</w:t>
      </w:r>
      <w:r>
        <w:rPr>
          <w:rFonts w:ascii="Arial" w:hAnsi="Arial" w:cs="Arial"/>
          <w:color w:val="000000"/>
          <w:sz w:val="20"/>
        </w:rPr>
        <w:t>de determinada</w:t>
      </w:r>
      <w:r w:rsidRPr="00B67282">
        <w:rPr>
          <w:rFonts w:ascii="Arial" w:hAnsi="Arial" w:cs="Arial"/>
          <w:color w:val="000000"/>
          <w:sz w:val="20"/>
        </w:rPr>
        <w:t xml:space="preserve"> aplicação</w:t>
      </w:r>
      <w:r>
        <w:rPr>
          <w:rFonts w:ascii="Arial" w:hAnsi="Arial" w:cs="Arial"/>
          <w:color w:val="000000"/>
          <w:sz w:val="20"/>
        </w:rPr>
        <w:t>.</w:t>
      </w:r>
    </w:p>
    <w:p w:rsidR="00014027" w:rsidRDefault="00014027" w:rsidP="00BF74A4">
      <w:pPr>
        <w:spacing w:after="60" w:line="312" w:lineRule="auto"/>
        <w:ind w:firstLine="1418"/>
        <w:jc w:val="both"/>
        <w:rPr>
          <w:rFonts w:ascii="Arial" w:hAnsi="Arial" w:cs="Arial"/>
          <w:color w:val="000000"/>
          <w:sz w:val="20"/>
        </w:rPr>
      </w:pPr>
      <w:r>
        <w:rPr>
          <w:rFonts w:ascii="Arial" w:hAnsi="Arial" w:cs="Arial"/>
          <w:sz w:val="20"/>
        </w:rPr>
        <w:t xml:space="preserve">O </w:t>
      </w:r>
      <w:r w:rsidRPr="00B94A63">
        <w:rPr>
          <w:rFonts w:ascii="Arial" w:hAnsi="Arial" w:cs="Arial"/>
          <w:b/>
          <w:sz w:val="20"/>
        </w:rPr>
        <w:t xml:space="preserve">Índice de </w:t>
      </w:r>
      <w:r w:rsidRPr="001E56D9">
        <w:rPr>
          <w:rFonts w:ascii="Arial" w:hAnsi="Arial" w:cs="Arial"/>
          <w:b/>
          <w:i/>
          <w:sz w:val="20"/>
        </w:rPr>
        <w:t>Treynor</w:t>
      </w:r>
      <w:r w:rsidRPr="00A14828">
        <w:rPr>
          <w:rFonts w:ascii="Arial" w:hAnsi="Arial" w:cs="Arial"/>
          <w:sz w:val="20"/>
        </w:rPr>
        <w:t xml:space="preserve">é uma medida similar ao Índice de </w:t>
      </w:r>
      <w:r w:rsidRPr="001E56D9">
        <w:rPr>
          <w:rFonts w:ascii="Arial" w:hAnsi="Arial" w:cs="Arial"/>
          <w:i/>
          <w:sz w:val="20"/>
        </w:rPr>
        <w:t>Sharpe</w:t>
      </w:r>
      <w:r w:rsidRPr="00A14828">
        <w:rPr>
          <w:rFonts w:ascii="Arial" w:hAnsi="Arial" w:cs="Arial"/>
          <w:sz w:val="20"/>
        </w:rPr>
        <w:t>, com a diferença de</w:t>
      </w:r>
      <w:r>
        <w:rPr>
          <w:rFonts w:ascii="Arial" w:hAnsi="Arial" w:cs="Arial"/>
          <w:sz w:val="20"/>
        </w:rPr>
        <w:t>,</w:t>
      </w:r>
      <w:r w:rsidRPr="00A14828">
        <w:rPr>
          <w:rFonts w:ascii="Arial" w:hAnsi="Arial" w:cs="Arial"/>
          <w:sz w:val="20"/>
        </w:rPr>
        <w:t xml:space="preserve"> em vez de usar como medida de risco o desvio-padrão, usa</w:t>
      </w:r>
      <w:r w:rsidR="00063CFF">
        <w:rPr>
          <w:rFonts w:ascii="Arial" w:hAnsi="Arial" w:cs="Arial"/>
          <w:sz w:val="20"/>
        </w:rPr>
        <w:t xml:space="preserve"> o coeficiente Beta. Além disso</w:t>
      </w:r>
      <w:r w:rsidR="00CE6CF2">
        <w:rPr>
          <w:rFonts w:ascii="Arial" w:hAnsi="Arial" w:cs="Arial"/>
          <w:sz w:val="20"/>
        </w:rPr>
        <w:t>,</w:t>
      </w:r>
      <w:r w:rsidR="00063CFF">
        <w:rPr>
          <w:rFonts w:ascii="Arial" w:hAnsi="Arial" w:cs="Arial"/>
          <w:sz w:val="20"/>
        </w:rPr>
        <w:t xml:space="preserve"> trata-se de</w:t>
      </w:r>
      <w:r w:rsidRPr="00A14828">
        <w:rPr>
          <w:rFonts w:ascii="Arial" w:hAnsi="Arial" w:cs="Arial"/>
          <w:sz w:val="20"/>
        </w:rPr>
        <w:t xml:space="preserve"> medida de excesso de retorno em relação ao risco sistemático. O risco de ativos individuais ou de um pequeno grupo de ativos pode ser melhor descrito pelo seu co-movimento com o mercado (Beta). Assim, </w:t>
      </w:r>
      <w:r>
        <w:rPr>
          <w:rFonts w:ascii="Arial" w:hAnsi="Arial" w:cs="Arial"/>
          <w:sz w:val="20"/>
        </w:rPr>
        <w:t>esse índice</w:t>
      </w:r>
      <w:r w:rsidRPr="00A14828">
        <w:rPr>
          <w:rFonts w:ascii="Arial" w:hAnsi="Arial" w:cs="Arial"/>
          <w:sz w:val="20"/>
        </w:rPr>
        <w:t xml:space="preserve"> parece ser particularmente útil para essa tarefa, quando a carteira do investidor é uma de muitas carteiras incluídas num grande fundo</w:t>
      </w:r>
      <w:r>
        <w:rPr>
          <w:rFonts w:ascii="Arial" w:hAnsi="Arial" w:cs="Arial"/>
          <w:sz w:val="20"/>
        </w:rPr>
        <w:t>.</w:t>
      </w:r>
    </w:p>
    <w:p w:rsidR="009A0C76" w:rsidRPr="00815DF4" w:rsidRDefault="00014027" w:rsidP="00BF74A4">
      <w:pPr>
        <w:spacing w:after="60" w:line="312" w:lineRule="auto"/>
        <w:ind w:firstLine="1418"/>
        <w:jc w:val="both"/>
        <w:rPr>
          <w:rFonts w:ascii="Arial" w:hAnsi="Arial" w:cs="Arial"/>
          <w:sz w:val="20"/>
        </w:rPr>
      </w:pPr>
      <w:r w:rsidRPr="00983AB9">
        <w:rPr>
          <w:rFonts w:ascii="Arial" w:hAnsi="Arial" w:cs="Arial"/>
          <w:sz w:val="20"/>
        </w:rPr>
        <w:t xml:space="preserve">O </w:t>
      </w:r>
      <w:r w:rsidRPr="00983AB9">
        <w:rPr>
          <w:rFonts w:ascii="Arial" w:hAnsi="Arial" w:cs="Arial"/>
          <w:b/>
          <w:i/>
          <w:sz w:val="20"/>
        </w:rPr>
        <w:t>VaR (Value-at-Risk)</w:t>
      </w:r>
      <w:r w:rsidRPr="00983AB9">
        <w:rPr>
          <w:rFonts w:ascii="Arial" w:hAnsi="Arial" w:cs="Arial"/>
          <w:color w:val="000000"/>
          <w:sz w:val="20"/>
        </w:rPr>
        <w:t>é uma medida</w:t>
      </w:r>
      <w:r>
        <w:rPr>
          <w:rFonts w:ascii="Arial" w:hAnsi="Arial" w:cs="Arial"/>
          <w:color w:val="000000"/>
          <w:sz w:val="20"/>
        </w:rPr>
        <w:t xml:space="preserve"> estatística que permite medir o risco inerente a cada carteira, ou seja, </w:t>
      </w:r>
      <w:r w:rsidRPr="00983AB9">
        <w:rPr>
          <w:rFonts w:ascii="Arial" w:hAnsi="Arial" w:cs="Arial"/>
          <w:color w:val="000000"/>
          <w:sz w:val="20"/>
        </w:rPr>
        <w:t>demonstra a maior perda esperada de um ativo, para um determinado horizonte de tempo e dada uma probabilidade de ocorrência (nível de confiança).</w:t>
      </w:r>
      <w:r>
        <w:rPr>
          <w:rFonts w:ascii="Arial" w:hAnsi="Arial" w:cs="Arial"/>
          <w:color w:val="000000"/>
          <w:sz w:val="20"/>
        </w:rPr>
        <w:t xml:space="preserve"> Serão utilizados </w:t>
      </w:r>
      <w:r w:rsidRPr="001C54B5">
        <w:rPr>
          <w:rFonts w:ascii="Arial" w:hAnsi="Arial" w:cs="Arial"/>
          <w:sz w:val="20"/>
        </w:rPr>
        <w:t>os seguintes parâmetros para o cálculo do mesmo</w:t>
      </w:r>
      <w:r w:rsidR="00815DF4">
        <w:rPr>
          <w:rFonts w:ascii="Arial" w:hAnsi="Arial" w:cs="Arial"/>
          <w:sz w:val="20"/>
        </w:rPr>
        <w:t>:</w:t>
      </w:r>
    </w:p>
    <w:bookmarkEnd w:id="30"/>
    <w:bookmarkEnd w:id="31"/>
    <w:p w:rsidR="009A0C76" w:rsidRPr="00206E20" w:rsidRDefault="009A0C76" w:rsidP="00BF74A4">
      <w:pPr>
        <w:spacing w:after="60"/>
        <w:ind w:firstLine="1418"/>
        <w:jc w:val="both"/>
        <w:rPr>
          <w:rFonts w:ascii="Arial" w:hAnsi="Arial" w:cs="Arial"/>
          <w:sz w:val="20"/>
          <w:szCs w:val="20"/>
        </w:rPr>
      </w:pPr>
      <w:r w:rsidRPr="00206E20">
        <w:rPr>
          <w:rFonts w:ascii="Arial" w:hAnsi="Arial" w:cs="Arial"/>
          <w:sz w:val="20"/>
          <w:szCs w:val="20"/>
        </w:rPr>
        <w:sym w:font="Wingdings" w:char="F0F0"/>
      </w:r>
      <w:r w:rsidRPr="00206E20">
        <w:rPr>
          <w:rFonts w:ascii="Arial" w:hAnsi="Arial" w:cs="Arial"/>
          <w:sz w:val="20"/>
          <w:szCs w:val="20"/>
        </w:rPr>
        <w:t xml:space="preserve"> M</w:t>
      </w:r>
      <w:r w:rsidR="00F10657" w:rsidRPr="00206E20">
        <w:rPr>
          <w:rFonts w:ascii="Arial" w:hAnsi="Arial" w:cs="Arial"/>
          <w:sz w:val="20"/>
          <w:szCs w:val="20"/>
        </w:rPr>
        <w:t>odelo não paramétrico</w:t>
      </w:r>
      <w:r w:rsidRPr="00206E20">
        <w:rPr>
          <w:rFonts w:ascii="Arial" w:hAnsi="Arial" w:cs="Arial"/>
          <w:sz w:val="20"/>
          <w:szCs w:val="20"/>
        </w:rPr>
        <w:t>;</w:t>
      </w:r>
    </w:p>
    <w:p w:rsidR="009A0C76" w:rsidRPr="00206E20" w:rsidRDefault="009A0C76" w:rsidP="00BF74A4">
      <w:pPr>
        <w:spacing w:after="60"/>
        <w:ind w:firstLine="1418"/>
        <w:jc w:val="both"/>
        <w:rPr>
          <w:rFonts w:ascii="Arial" w:hAnsi="Arial" w:cs="Arial"/>
          <w:sz w:val="20"/>
          <w:szCs w:val="20"/>
        </w:rPr>
      </w:pPr>
      <w:r w:rsidRPr="00206E20">
        <w:rPr>
          <w:rFonts w:ascii="Arial" w:hAnsi="Arial" w:cs="Arial"/>
          <w:sz w:val="20"/>
          <w:szCs w:val="20"/>
        </w:rPr>
        <w:sym w:font="Wingdings" w:char="F0F0"/>
      </w:r>
      <w:r w:rsidRPr="00206E20">
        <w:rPr>
          <w:rFonts w:ascii="Arial" w:hAnsi="Arial" w:cs="Arial"/>
          <w:sz w:val="20"/>
          <w:szCs w:val="20"/>
        </w:rPr>
        <w:t>I</w:t>
      </w:r>
      <w:r w:rsidR="00F10657" w:rsidRPr="00206E20">
        <w:rPr>
          <w:rFonts w:ascii="Arial" w:hAnsi="Arial" w:cs="Arial"/>
          <w:sz w:val="20"/>
          <w:szCs w:val="20"/>
        </w:rPr>
        <w:t>ntervalo de confiança de 95%</w:t>
      </w:r>
      <w:r w:rsidR="005F0736" w:rsidRPr="00206E20">
        <w:rPr>
          <w:rFonts w:ascii="Arial" w:hAnsi="Arial" w:cs="Arial"/>
          <w:sz w:val="20"/>
          <w:szCs w:val="20"/>
        </w:rPr>
        <w:t xml:space="preserve"> (noventa e cinco por cento</w:t>
      </w:r>
      <w:r w:rsidR="00516FAB" w:rsidRPr="00206E20">
        <w:rPr>
          <w:rFonts w:ascii="Arial" w:hAnsi="Arial" w:cs="Arial"/>
          <w:sz w:val="20"/>
          <w:szCs w:val="20"/>
        </w:rPr>
        <w:t>)</w:t>
      </w:r>
      <w:r w:rsidRPr="00206E20">
        <w:rPr>
          <w:rFonts w:ascii="Arial" w:hAnsi="Arial" w:cs="Arial"/>
          <w:sz w:val="20"/>
          <w:szCs w:val="20"/>
        </w:rPr>
        <w:t>;</w:t>
      </w:r>
    </w:p>
    <w:p w:rsidR="00F10657" w:rsidRPr="00206E20" w:rsidRDefault="009A0C76" w:rsidP="00BF74A4">
      <w:pPr>
        <w:spacing w:after="60"/>
        <w:ind w:firstLine="1418"/>
        <w:jc w:val="both"/>
        <w:rPr>
          <w:rFonts w:ascii="Arial" w:hAnsi="Arial" w:cs="Arial"/>
          <w:sz w:val="20"/>
          <w:szCs w:val="20"/>
        </w:rPr>
      </w:pPr>
      <w:r w:rsidRPr="00206E20">
        <w:rPr>
          <w:rFonts w:ascii="Arial" w:hAnsi="Arial" w:cs="Arial"/>
          <w:sz w:val="20"/>
          <w:szCs w:val="20"/>
        </w:rPr>
        <w:sym w:font="Wingdings" w:char="F0F0"/>
      </w:r>
      <w:r w:rsidRPr="00206E20">
        <w:rPr>
          <w:rFonts w:ascii="Arial" w:hAnsi="Arial" w:cs="Arial"/>
          <w:sz w:val="20"/>
          <w:szCs w:val="20"/>
        </w:rPr>
        <w:t>H</w:t>
      </w:r>
      <w:r w:rsidR="00F10657" w:rsidRPr="00206E20">
        <w:rPr>
          <w:rFonts w:ascii="Arial" w:hAnsi="Arial" w:cs="Arial"/>
          <w:sz w:val="20"/>
          <w:szCs w:val="20"/>
        </w:rPr>
        <w:t>orizonte temporal de 21 dias úteis.</w:t>
      </w:r>
    </w:p>
    <w:p w:rsidR="00F10657" w:rsidRPr="00206E20" w:rsidRDefault="00F10657" w:rsidP="00BF74A4">
      <w:pPr>
        <w:spacing w:after="60" w:line="312" w:lineRule="auto"/>
        <w:ind w:firstLine="1418"/>
        <w:jc w:val="both"/>
        <w:rPr>
          <w:rFonts w:ascii="Arial" w:hAnsi="Arial" w:cs="Arial"/>
          <w:sz w:val="20"/>
          <w:szCs w:val="20"/>
        </w:rPr>
      </w:pPr>
      <w:r w:rsidRPr="00206E20">
        <w:rPr>
          <w:rFonts w:ascii="Arial" w:hAnsi="Arial" w:cs="Arial"/>
          <w:sz w:val="20"/>
          <w:szCs w:val="20"/>
        </w:rPr>
        <w:t>Os limites estabelecidos são:</w:t>
      </w:r>
    </w:p>
    <w:p w:rsidR="00F10657" w:rsidRPr="00206E20" w:rsidRDefault="00F10657" w:rsidP="00BF74A4">
      <w:pPr>
        <w:numPr>
          <w:ilvl w:val="0"/>
          <w:numId w:val="22"/>
        </w:numPr>
        <w:tabs>
          <w:tab w:val="clear" w:pos="720"/>
        </w:tabs>
        <w:spacing w:after="60" w:line="312" w:lineRule="auto"/>
        <w:ind w:left="1701" w:hanging="283"/>
        <w:jc w:val="both"/>
        <w:rPr>
          <w:rFonts w:ascii="Arial" w:hAnsi="Arial" w:cs="Arial"/>
          <w:sz w:val="20"/>
          <w:szCs w:val="20"/>
        </w:rPr>
      </w:pPr>
      <w:r w:rsidRPr="00206E20">
        <w:rPr>
          <w:rFonts w:ascii="Arial" w:hAnsi="Arial" w:cs="Arial"/>
          <w:sz w:val="20"/>
          <w:szCs w:val="20"/>
        </w:rPr>
        <w:t xml:space="preserve">Segmento de </w:t>
      </w:r>
      <w:r w:rsidR="009A0C76" w:rsidRPr="00206E20">
        <w:rPr>
          <w:rFonts w:ascii="Arial" w:hAnsi="Arial" w:cs="Arial"/>
          <w:sz w:val="20"/>
          <w:szCs w:val="20"/>
        </w:rPr>
        <w:t>R</w:t>
      </w:r>
      <w:r w:rsidRPr="00206E20">
        <w:rPr>
          <w:rFonts w:ascii="Arial" w:hAnsi="Arial" w:cs="Arial"/>
          <w:sz w:val="20"/>
          <w:szCs w:val="20"/>
        </w:rPr>
        <w:t xml:space="preserve">enda </w:t>
      </w:r>
      <w:r w:rsidR="009A0C76" w:rsidRPr="00206E20">
        <w:rPr>
          <w:rFonts w:ascii="Arial" w:hAnsi="Arial" w:cs="Arial"/>
          <w:sz w:val="20"/>
          <w:szCs w:val="20"/>
        </w:rPr>
        <w:t>F</w:t>
      </w:r>
      <w:r w:rsidRPr="00206E20">
        <w:rPr>
          <w:rFonts w:ascii="Arial" w:hAnsi="Arial" w:cs="Arial"/>
          <w:sz w:val="20"/>
          <w:szCs w:val="20"/>
        </w:rPr>
        <w:t xml:space="preserve">ixa: </w:t>
      </w:r>
      <w:r w:rsidR="00B43F96" w:rsidRPr="00206E20">
        <w:rPr>
          <w:rFonts w:ascii="Arial" w:hAnsi="Arial" w:cs="Arial"/>
          <w:sz w:val="20"/>
          <w:szCs w:val="20"/>
        </w:rPr>
        <w:t>1</w:t>
      </w:r>
      <w:r w:rsidRPr="00206E20">
        <w:rPr>
          <w:rFonts w:ascii="Arial" w:hAnsi="Arial" w:cs="Arial"/>
          <w:sz w:val="20"/>
          <w:szCs w:val="20"/>
        </w:rPr>
        <w:t xml:space="preserve">% </w:t>
      </w:r>
      <w:r w:rsidR="005F0736" w:rsidRPr="00206E20">
        <w:rPr>
          <w:rFonts w:ascii="Arial" w:hAnsi="Arial" w:cs="Arial"/>
          <w:sz w:val="20"/>
          <w:szCs w:val="20"/>
        </w:rPr>
        <w:t>(</w:t>
      </w:r>
      <w:r w:rsidR="00B43F96" w:rsidRPr="00206E20">
        <w:rPr>
          <w:rFonts w:ascii="Arial" w:hAnsi="Arial" w:cs="Arial"/>
          <w:sz w:val="20"/>
          <w:szCs w:val="20"/>
        </w:rPr>
        <w:t>um</w:t>
      </w:r>
      <w:r w:rsidR="005F0736" w:rsidRPr="00206E20">
        <w:rPr>
          <w:rFonts w:ascii="Arial" w:hAnsi="Arial" w:cs="Arial"/>
          <w:sz w:val="20"/>
          <w:szCs w:val="20"/>
        </w:rPr>
        <w:t xml:space="preserve"> por cento) </w:t>
      </w:r>
      <w:r w:rsidRPr="00206E20">
        <w:rPr>
          <w:rFonts w:ascii="Arial" w:hAnsi="Arial" w:cs="Arial"/>
          <w:sz w:val="20"/>
          <w:szCs w:val="20"/>
        </w:rPr>
        <w:t>do valor alocado.</w:t>
      </w:r>
    </w:p>
    <w:p w:rsidR="00F10657" w:rsidRPr="00206E20" w:rsidRDefault="00F10657" w:rsidP="00BF74A4">
      <w:pPr>
        <w:numPr>
          <w:ilvl w:val="0"/>
          <w:numId w:val="22"/>
        </w:numPr>
        <w:tabs>
          <w:tab w:val="clear" w:pos="720"/>
        </w:tabs>
        <w:spacing w:after="60" w:line="312" w:lineRule="auto"/>
        <w:ind w:left="1701" w:hanging="283"/>
        <w:jc w:val="both"/>
        <w:rPr>
          <w:rFonts w:ascii="Arial" w:hAnsi="Arial" w:cs="Arial"/>
          <w:sz w:val="20"/>
          <w:szCs w:val="20"/>
        </w:rPr>
      </w:pPr>
      <w:r w:rsidRPr="00206E20">
        <w:rPr>
          <w:rFonts w:ascii="Arial" w:hAnsi="Arial" w:cs="Arial"/>
          <w:sz w:val="20"/>
          <w:szCs w:val="20"/>
        </w:rPr>
        <w:t xml:space="preserve">Segmento de </w:t>
      </w:r>
      <w:r w:rsidR="009A0C76" w:rsidRPr="00206E20">
        <w:rPr>
          <w:rFonts w:ascii="Arial" w:hAnsi="Arial" w:cs="Arial"/>
          <w:sz w:val="20"/>
          <w:szCs w:val="20"/>
        </w:rPr>
        <w:t>R</w:t>
      </w:r>
      <w:r w:rsidRPr="00206E20">
        <w:rPr>
          <w:rFonts w:ascii="Arial" w:hAnsi="Arial" w:cs="Arial"/>
          <w:sz w:val="20"/>
          <w:szCs w:val="20"/>
        </w:rPr>
        <w:t xml:space="preserve">enda </w:t>
      </w:r>
      <w:r w:rsidR="009A0C76" w:rsidRPr="00206E20">
        <w:rPr>
          <w:rFonts w:ascii="Arial" w:hAnsi="Arial" w:cs="Arial"/>
          <w:sz w:val="20"/>
          <w:szCs w:val="20"/>
        </w:rPr>
        <w:t>V</w:t>
      </w:r>
      <w:r w:rsidRPr="00206E20">
        <w:rPr>
          <w:rFonts w:ascii="Arial" w:hAnsi="Arial" w:cs="Arial"/>
          <w:sz w:val="20"/>
          <w:szCs w:val="20"/>
        </w:rPr>
        <w:t xml:space="preserve">ariável: </w:t>
      </w:r>
      <w:r w:rsidR="00B43F96" w:rsidRPr="00206E20">
        <w:rPr>
          <w:rFonts w:ascii="Arial" w:hAnsi="Arial" w:cs="Arial"/>
          <w:sz w:val="20"/>
          <w:szCs w:val="20"/>
        </w:rPr>
        <w:t>10</w:t>
      </w:r>
      <w:r w:rsidRPr="00206E20">
        <w:rPr>
          <w:rFonts w:ascii="Arial" w:hAnsi="Arial" w:cs="Arial"/>
          <w:sz w:val="20"/>
          <w:szCs w:val="20"/>
        </w:rPr>
        <w:t xml:space="preserve">% </w:t>
      </w:r>
      <w:r w:rsidR="005F0736" w:rsidRPr="00206E20">
        <w:rPr>
          <w:rFonts w:ascii="Arial" w:hAnsi="Arial" w:cs="Arial"/>
          <w:sz w:val="20"/>
          <w:szCs w:val="20"/>
        </w:rPr>
        <w:t xml:space="preserve">(dez por cento) </w:t>
      </w:r>
      <w:r w:rsidRPr="00206E20">
        <w:rPr>
          <w:rFonts w:ascii="Arial" w:hAnsi="Arial" w:cs="Arial"/>
          <w:sz w:val="20"/>
          <w:szCs w:val="20"/>
        </w:rPr>
        <w:t>do valor alocado.</w:t>
      </w:r>
    </w:p>
    <w:p w:rsidR="009A0C76" w:rsidRPr="00FF38B8" w:rsidRDefault="009A0C76" w:rsidP="00BF74A4">
      <w:pPr>
        <w:tabs>
          <w:tab w:val="left" w:pos="1134"/>
        </w:tabs>
        <w:autoSpaceDE w:val="0"/>
        <w:autoSpaceDN w:val="0"/>
        <w:adjustRightInd w:val="0"/>
        <w:spacing w:after="60"/>
        <w:jc w:val="both"/>
        <w:rPr>
          <w:rFonts w:ascii="Arial" w:hAnsi="Arial" w:cs="Arial"/>
          <w:b/>
          <w:bCs/>
          <w:smallCaps/>
          <w:sz w:val="20"/>
          <w:szCs w:val="20"/>
        </w:rPr>
      </w:pPr>
      <w:bookmarkStart w:id="32" w:name="_Toc184817259"/>
      <w:r w:rsidRPr="00FF38B8">
        <w:rPr>
          <w:rFonts w:ascii="Arial" w:hAnsi="Arial" w:cs="Arial"/>
          <w:b/>
          <w:bCs/>
          <w:smallCaps/>
          <w:sz w:val="20"/>
          <w:szCs w:val="20"/>
        </w:rPr>
        <w:t>6.</w:t>
      </w:r>
      <w:r w:rsidR="00AC3079" w:rsidRPr="00FF38B8">
        <w:rPr>
          <w:rFonts w:ascii="Arial" w:hAnsi="Arial" w:cs="Arial"/>
          <w:b/>
          <w:bCs/>
          <w:smallCaps/>
          <w:sz w:val="20"/>
          <w:szCs w:val="20"/>
        </w:rPr>
        <w:t>7</w:t>
      </w:r>
      <w:r w:rsidR="00F1149A" w:rsidRPr="00FF38B8">
        <w:rPr>
          <w:rFonts w:ascii="Arial" w:hAnsi="Arial" w:cs="Arial"/>
          <w:b/>
          <w:bCs/>
          <w:smallCaps/>
          <w:sz w:val="20"/>
          <w:szCs w:val="20"/>
        </w:rPr>
        <w:t>.</w:t>
      </w:r>
      <w:r w:rsidR="00FF38B8" w:rsidRPr="00FF38B8">
        <w:rPr>
          <w:rFonts w:ascii="Arial" w:hAnsi="Arial" w:cs="Arial"/>
          <w:b/>
          <w:bCs/>
          <w:smallCaps/>
          <w:sz w:val="20"/>
          <w:szCs w:val="20"/>
        </w:rPr>
        <w:t xml:space="preserve"> CONTROLES DE RISCO DE CRÉDITO</w:t>
      </w:r>
    </w:p>
    <w:bookmarkEnd w:id="32"/>
    <w:p w:rsidR="00C511C3" w:rsidRPr="00CF0E68" w:rsidRDefault="00C511C3" w:rsidP="00BF74A4">
      <w:pPr>
        <w:autoSpaceDE w:val="0"/>
        <w:autoSpaceDN w:val="0"/>
        <w:adjustRightInd w:val="0"/>
        <w:spacing w:after="60" w:line="312" w:lineRule="auto"/>
        <w:ind w:firstLine="1418"/>
        <w:jc w:val="both"/>
        <w:rPr>
          <w:rFonts w:ascii="Arial" w:hAnsi="Arial" w:cs="Arial"/>
          <w:sz w:val="20"/>
          <w:szCs w:val="20"/>
        </w:rPr>
      </w:pPr>
      <w:r w:rsidRPr="00CF0E68">
        <w:rPr>
          <w:rFonts w:ascii="Arial" w:hAnsi="Arial" w:cs="Arial"/>
          <w:sz w:val="20"/>
          <w:szCs w:val="20"/>
        </w:rPr>
        <w:t>Na hipótese de aplicação de recursos financeiros d</w:t>
      </w:r>
      <w:r w:rsidR="00432C9A" w:rsidRPr="00CF0E68">
        <w:rPr>
          <w:rFonts w:ascii="Arial" w:hAnsi="Arial" w:cs="Arial"/>
          <w:sz w:val="20"/>
          <w:szCs w:val="20"/>
        </w:rPr>
        <w:t>a</w:t>
      </w:r>
      <w:r w:rsidR="00895FF5">
        <w:rPr>
          <w:rFonts w:ascii="Arial" w:hAnsi="Arial" w:cs="Arial"/>
          <w:sz w:val="20"/>
          <w:szCs w:val="20"/>
        </w:rPr>
        <w:t xml:space="preserve"> </w:t>
      </w:r>
      <w:r w:rsidR="00432C9A" w:rsidRPr="00CF0E68">
        <w:rPr>
          <w:rFonts w:ascii="Arial" w:hAnsi="Arial" w:cs="Arial"/>
          <w:sz w:val="20"/>
          <w:szCs w:val="20"/>
        </w:rPr>
        <w:t>AMPREV</w:t>
      </w:r>
      <w:r w:rsidRPr="00CF0E68">
        <w:rPr>
          <w:rFonts w:ascii="Arial" w:hAnsi="Arial" w:cs="Arial"/>
          <w:sz w:val="20"/>
          <w:szCs w:val="20"/>
        </w:rPr>
        <w:t xml:space="preserve"> que exijam</w:t>
      </w:r>
      <w:r w:rsidR="00895FF5">
        <w:rPr>
          <w:rFonts w:ascii="Arial" w:hAnsi="Arial" w:cs="Arial"/>
          <w:sz w:val="20"/>
          <w:szCs w:val="20"/>
        </w:rPr>
        <w:t xml:space="preserve"> </w:t>
      </w:r>
      <w:r w:rsidRPr="00CF0E68">
        <w:rPr>
          <w:rFonts w:ascii="Arial" w:hAnsi="Arial" w:cs="Arial"/>
          <w:sz w:val="20"/>
          <w:szCs w:val="20"/>
        </w:rPr>
        <w:t xml:space="preserve">classificação do risco de crédito das emissões e dos emitentes </w:t>
      </w:r>
      <w:r w:rsidRPr="00CF0E68">
        <w:rPr>
          <w:rFonts w:ascii="Arial" w:hAnsi="Arial" w:cs="Arial"/>
          <w:iCs/>
          <w:sz w:val="20"/>
          <w:szCs w:val="20"/>
        </w:rPr>
        <w:t>(instituições</w:t>
      </w:r>
      <w:r w:rsidR="00895FF5">
        <w:rPr>
          <w:rFonts w:ascii="Arial" w:hAnsi="Arial" w:cs="Arial"/>
          <w:iCs/>
          <w:sz w:val="20"/>
          <w:szCs w:val="20"/>
        </w:rPr>
        <w:t xml:space="preserve"> </w:t>
      </w:r>
      <w:r w:rsidRPr="00CF0E68">
        <w:rPr>
          <w:rFonts w:ascii="Arial" w:hAnsi="Arial" w:cs="Arial"/>
          <w:iCs/>
          <w:sz w:val="20"/>
          <w:szCs w:val="20"/>
        </w:rPr>
        <w:t>financeiras</w:t>
      </w:r>
      <w:r w:rsidR="00B43F96">
        <w:rPr>
          <w:rFonts w:ascii="Arial" w:hAnsi="Arial" w:cs="Arial"/>
          <w:iCs/>
          <w:sz w:val="20"/>
          <w:szCs w:val="20"/>
        </w:rPr>
        <w:t xml:space="preserve"> e fundos de investimento</w:t>
      </w:r>
      <w:r w:rsidRPr="00CF0E68">
        <w:rPr>
          <w:rFonts w:ascii="Arial" w:hAnsi="Arial" w:cs="Arial"/>
          <w:iCs/>
          <w:sz w:val="20"/>
          <w:szCs w:val="20"/>
        </w:rPr>
        <w:t>)</w:t>
      </w:r>
      <w:r w:rsidRPr="00CF0E68">
        <w:rPr>
          <w:rFonts w:ascii="Arial" w:hAnsi="Arial" w:cs="Arial"/>
          <w:sz w:val="20"/>
          <w:szCs w:val="20"/>
        </w:rPr>
        <w:t xml:space="preserve">a decisão será fundamentada no mínimo em duas </w:t>
      </w:r>
      <w:r w:rsidRPr="00CF0E68">
        <w:rPr>
          <w:rFonts w:ascii="Arial" w:hAnsi="Arial" w:cs="Arial"/>
          <w:b/>
          <w:bCs/>
          <w:sz w:val="20"/>
          <w:szCs w:val="20"/>
        </w:rPr>
        <w:t>classificações</w:t>
      </w:r>
      <w:r w:rsidR="00895FF5">
        <w:rPr>
          <w:rFonts w:ascii="Arial" w:hAnsi="Arial" w:cs="Arial"/>
          <w:b/>
          <w:bCs/>
          <w:sz w:val="20"/>
          <w:szCs w:val="20"/>
        </w:rPr>
        <w:t xml:space="preserve"> </w:t>
      </w:r>
      <w:r w:rsidRPr="00CF0E68">
        <w:rPr>
          <w:rFonts w:ascii="Arial" w:hAnsi="Arial" w:cs="Arial"/>
          <w:b/>
          <w:bCs/>
          <w:sz w:val="20"/>
          <w:szCs w:val="20"/>
        </w:rPr>
        <w:t xml:space="preserve">de risco </w:t>
      </w:r>
      <w:r w:rsidRPr="00CF0E68">
        <w:rPr>
          <w:rFonts w:ascii="Arial" w:hAnsi="Arial" w:cs="Arial"/>
          <w:b/>
          <w:i/>
          <w:sz w:val="20"/>
          <w:szCs w:val="20"/>
        </w:rPr>
        <w:t>(</w:t>
      </w:r>
      <w:r w:rsidRPr="00CF0E68">
        <w:rPr>
          <w:rFonts w:ascii="Arial" w:hAnsi="Arial" w:cs="Arial"/>
          <w:b/>
          <w:i/>
          <w:iCs/>
          <w:sz w:val="20"/>
          <w:szCs w:val="20"/>
        </w:rPr>
        <w:t>rating</w:t>
      </w:r>
      <w:r w:rsidRPr="00CF0E68">
        <w:rPr>
          <w:rFonts w:ascii="Arial" w:hAnsi="Arial" w:cs="Arial"/>
          <w:b/>
          <w:i/>
          <w:sz w:val="20"/>
          <w:szCs w:val="20"/>
        </w:rPr>
        <w:t>)</w:t>
      </w:r>
      <w:r w:rsidRPr="00CF0E68">
        <w:rPr>
          <w:rFonts w:ascii="Arial" w:hAnsi="Arial" w:cs="Arial"/>
          <w:b/>
          <w:bCs/>
          <w:sz w:val="20"/>
          <w:szCs w:val="20"/>
        </w:rPr>
        <w:t xml:space="preserve">baixo, </w:t>
      </w:r>
      <w:r w:rsidRPr="00CF0E68">
        <w:rPr>
          <w:rFonts w:ascii="Arial" w:hAnsi="Arial" w:cs="Arial"/>
          <w:sz w:val="20"/>
          <w:szCs w:val="20"/>
        </w:rPr>
        <w:t>atribuídas por entidades legalmente autorizadas a</w:t>
      </w:r>
      <w:r w:rsidR="00895FF5">
        <w:rPr>
          <w:rFonts w:ascii="Arial" w:hAnsi="Arial" w:cs="Arial"/>
          <w:sz w:val="20"/>
          <w:szCs w:val="20"/>
        </w:rPr>
        <w:t xml:space="preserve"> </w:t>
      </w:r>
      <w:r w:rsidRPr="00CF0E68">
        <w:rPr>
          <w:rFonts w:ascii="Arial" w:hAnsi="Arial" w:cs="Arial"/>
          <w:sz w:val="20"/>
          <w:szCs w:val="20"/>
        </w:rPr>
        <w:t>realizar tal atividade.</w:t>
      </w:r>
    </w:p>
    <w:p w:rsidR="00F10657" w:rsidRDefault="00432C9A" w:rsidP="00BF74A4">
      <w:pPr>
        <w:spacing w:after="60" w:line="312" w:lineRule="auto"/>
        <w:ind w:firstLine="1418"/>
        <w:jc w:val="both"/>
        <w:rPr>
          <w:rFonts w:ascii="Arial" w:hAnsi="Arial" w:cs="Arial"/>
          <w:sz w:val="20"/>
          <w:szCs w:val="20"/>
        </w:rPr>
      </w:pPr>
      <w:r w:rsidRPr="00CF0E68">
        <w:rPr>
          <w:rFonts w:ascii="Arial" w:hAnsi="Arial" w:cs="Arial"/>
          <w:sz w:val="20"/>
          <w:szCs w:val="20"/>
        </w:rPr>
        <w:t>A</w:t>
      </w:r>
      <w:r w:rsidR="00F73A33" w:rsidRPr="00CF0E68">
        <w:rPr>
          <w:rFonts w:ascii="Arial" w:hAnsi="Arial" w:cs="Arial"/>
          <w:sz w:val="20"/>
          <w:szCs w:val="20"/>
        </w:rPr>
        <w:t xml:space="preserve"> AMPREV</w:t>
      </w:r>
      <w:r w:rsidR="00F10657" w:rsidRPr="00CF0E68">
        <w:rPr>
          <w:rFonts w:ascii="Arial" w:hAnsi="Arial" w:cs="Arial"/>
          <w:sz w:val="20"/>
          <w:szCs w:val="20"/>
        </w:rPr>
        <w:t xml:space="preserve"> controlará o risco de crédito como mostram as tabelas abaixo, sempre respeitando os limites e as restrições legais.</w:t>
      </w:r>
    </w:p>
    <w:p w:rsidR="00533667" w:rsidRDefault="00533667" w:rsidP="00BF74A4">
      <w:pPr>
        <w:spacing w:after="60" w:line="312" w:lineRule="auto"/>
        <w:ind w:firstLine="1418"/>
        <w:jc w:val="both"/>
        <w:rPr>
          <w:rFonts w:ascii="Arial" w:hAnsi="Arial" w:cs="Arial"/>
          <w:sz w:val="20"/>
          <w:szCs w:val="20"/>
        </w:rPr>
      </w:pPr>
    </w:p>
    <w:p w:rsidR="00F10657" w:rsidRPr="00206E20" w:rsidRDefault="00F10657" w:rsidP="00BF74A4">
      <w:pPr>
        <w:spacing w:after="80"/>
        <w:jc w:val="center"/>
        <w:rPr>
          <w:rFonts w:ascii="Arial" w:hAnsi="Arial" w:cs="Arial"/>
          <w:b/>
          <w:sz w:val="20"/>
          <w:szCs w:val="20"/>
        </w:rPr>
      </w:pPr>
      <w:r w:rsidRPr="00206E20">
        <w:rPr>
          <w:rFonts w:ascii="Arial" w:hAnsi="Arial" w:cs="Arial"/>
          <w:b/>
          <w:sz w:val="20"/>
          <w:szCs w:val="20"/>
        </w:rPr>
        <w:lastRenderedPageBreak/>
        <w:t>Tabela 1: Instituições Financeiras</w:t>
      </w:r>
    </w:p>
    <w:p w:rsidR="00F10657" w:rsidRPr="006A463C" w:rsidRDefault="004B619B" w:rsidP="00BF74A4">
      <w:pPr>
        <w:spacing w:after="80" w:line="360" w:lineRule="auto"/>
        <w:jc w:val="center"/>
        <w:rPr>
          <w:rFonts w:ascii="Arial" w:hAnsi="Arial" w:cs="Arial"/>
          <w:color w:val="FF0000"/>
          <w:sz w:val="20"/>
          <w:szCs w:val="20"/>
        </w:rPr>
      </w:pPr>
      <w:r>
        <w:rPr>
          <w:rFonts w:ascii="Arial" w:hAnsi="Arial" w:cs="Arial"/>
          <w:noProof/>
          <w:color w:val="FF0000"/>
          <w:sz w:val="20"/>
          <w:szCs w:val="20"/>
        </w:rPr>
        <w:drawing>
          <wp:inline distT="0" distB="0" distL="0" distR="0">
            <wp:extent cx="3562350" cy="103060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562350" cy="1030605"/>
                    </a:xfrm>
                    <a:prstGeom prst="rect">
                      <a:avLst/>
                    </a:prstGeom>
                    <a:noFill/>
                    <a:ln w="9525">
                      <a:noFill/>
                      <a:miter lim="800000"/>
                      <a:headEnd/>
                      <a:tailEnd/>
                    </a:ln>
                  </pic:spPr>
                </pic:pic>
              </a:graphicData>
            </a:graphic>
          </wp:inline>
        </w:drawing>
      </w:r>
    </w:p>
    <w:p w:rsidR="00F10657" w:rsidRPr="00206E20" w:rsidRDefault="00F10657" w:rsidP="00BF74A4">
      <w:pPr>
        <w:spacing w:after="80"/>
        <w:jc w:val="center"/>
        <w:rPr>
          <w:rFonts w:ascii="Arial" w:hAnsi="Arial" w:cs="Arial"/>
          <w:b/>
          <w:sz w:val="20"/>
          <w:szCs w:val="20"/>
        </w:rPr>
      </w:pPr>
      <w:r w:rsidRPr="00206E20">
        <w:rPr>
          <w:rFonts w:ascii="Arial" w:hAnsi="Arial" w:cs="Arial"/>
          <w:b/>
          <w:sz w:val="20"/>
          <w:szCs w:val="20"/>
        </w:rPr>
        <w:t>T</w:t>
      </w:r>
      <w:r w:rsidR="00B43F96" w:rsidRPr="00206E20">
        <w:rPr>
          <w:rFonts w:ascii="Arial" w:hAnsi="Arial" w:cs="Arial"/>
          <w:b/>
          <w:sz w:val="20"/>
          <w:szCs w:val="20"/>
        </w:rPr>
        <w:t>abela 2: Fundos de Investimento</w:t>
      </w:r>
    </w:p>
    <w:p w:rsidR="00F10657" w:rsidRPr="00CF0E68" w:rsidRDefault="004B619B" w:rsidP="00DE40F4">
      <w:pPr>
        <w:spacing w:after="600" w:line="360" w:lineRule="auto"/>
        <w:jc w:val="center"/>
        <w:rPr>
          <w:rFonts w:ascii="Arial" w:hAnsi="Arial" w:cs="Arial"/>
          <w:sz w:val="20"/>
          <w:szCs w:val="20"/>
        </w:rPr>
      </w:pPr>
      <w:r>
        <w:rPr>
          <w:rFonts w:ascii="Arial" w:hAnsi="Arial" w:cs="Arial"/>
          <w:noProof/>
          <w:color w:val="FF0000"/>
          <w:sz w:val="20"/>
          <w:szCs w:val="20"/>
        </w:rPr>
        <w:drawing>
          <wp:inline distT="0" distB="0" distL="0" distR="0">
            <wp:extent cx="3616960" cy="1050925"/>
            <wp:effectExtent l="1905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616960" cy="1050925"/>
                    </a:xfrm>
                    <a:prstGeom prst="rect">
                      <a:avLst/>
                    </a:prstGeom>
                    <a:noFill/>
                    <a:ln w="9525">
                      <a:noFill/>
                      <a:miter lim="800000"/>
                      <a:headEnd/>
                      <a:tailEnd/>
                    </a:ln>
                  </pic:spPr>
                </pic:pic>
              </a:graphicData>
            </a:graphic>
          </wp:inline>
        </w:drawing>
      </w:r>
    </w:p>
    <w:p w:rsidR="00455B4B" w:rsidRPr="00CF0E68" w:rsidRDefault="00FF38B8" w:rsidP="00420F27">
      <w:pPr>
        <w:pStyle w:val="Ttulo1"/>
        <w:numPr>
          <w:ilvl w:val="0"/>
          <w:numId w:val="0"/>
        </w:numPr>
        <w:tabs>
          <w:tab w:val="left" w:pos="1134"/>
        </w:tabs>
        <w:spacing w:before="0" w:after="80"/>
        <w:jc w:val="both"/>
        <w:rPr>
          <w:bCs w:val="0"/>
          <w:sz w:val="24"/>
          <w:szCs w:val="24"/>
        </w:rPr>
      </w:pPr>
      <w:bookmarkStart w:id="33" w:name="_Toc184817260"/>
      <w:r>
        <w:rPr>
          <w:bCs w:val="0"/>
          <w:sz w:val="24"/>
          <w:szCs w:val="24"/>
        </w:rPr>
        <w:t xml:space="preserve">7 - </w:t>
      </w:r>
      <w:r w:rsidR="00455B4B" w:rsidRPr="00CF0E68">
        <w:rPr>
          <w:sz w:val="24"/>
          <w:szCs w:val="24"/>
        </w:rPr>
        <w:t>SISTEMA ESPECIAL DE LIQUIDAÇÃO E DE CUSTÓDIA (SELIC)</w:t>
      </w:r>
    </w:p>
    <w:bookmarkEnd w:id="33"/>
    <w:p w:rsidR="00A43035" w:rsidRDefault="002F5AE2" w:rsidP="00420F27">
      <w:pPr>
        <w:autoSpaceDE w:val="0"/>
        <w:autoSpaceDN w:val="0"/>
        <w:adjustRightInd w:val="0"/>
        <w:spacing w:after="80" w:line="312" w:lineRule="auto"/>
        <w:ind w:firstLine="1418"/>
        <w:jc w:val="both"/>
        <w:rPr>
          <w:rFonts w:ascii="Arial" w:hAnsi="Arial" w:cs="Arial"/>
          <w:sz w:val="20"/>
          <w:szCs w:val="20"/>
        </w:rPr>
      </w:pPr>
      <w:r w:rsidRPr="006E4BAF">
        <w:rPr>
          <w:rFonts w:ascii="Arial" w:hAnsi="Arial" w:cs="Arial"/>
          <w:sz w:val="20"/>
          <w:szCs w:val="20"/>
        </w:rPr>
        <w:t xml:space="preserve">Conforme o disposto </w:t>
      </w:r>
      <w:r w:rsidR="006E4BAF" w:rsidRPr="006E4BAF">
        <w:rPr>
          <w:rFonts w:ascii="Arial" w:hAnsi="Arial" w:cs="Arial"/>
          <w:sz w:val="20"/>
          <w:szCs w:val="20"/>
        </w:rPr>
        <w:t xml:space="preserve">na </w:t>
      </w:r>
      <w:r w:rsidR="00B55712" w:rsidRPr="006E4BAF">
        <w:rPr>
          <w:rFonts w:ascii="Arial" w:hAnsi="Arial" w:cs="Arial"/>
          <w:sz w:val="20"/>
          <w:szCs w:val="20"/>
        </w:rPr>
        <w:t>Resolução CMN n° 3</w:t>
      </w:r>
      <w:r w:rsidR="008A3841" w:rsidRPr="006E4BAF">
        <w:rPr>
          <w:rFonts w:ascii="Arial" w:hAnsi="Arial" w:cs="Arial"/>
          <w:sz w:val="20"/>
          <w:szCs w:val="20"/>
        </w:rPr>
        <w:t>.9</w:t>
      </w:r>
      <w:r w:rsidR="00FB000B">
        <w:rPr>
          <w:rFonts w:ascii="Arial" w:hAnsi="Arial" w:cs="Arial"/>
          <w:sz w:val="20"/>
          <w:szCs w:val="20"/>
        </w:rPr>
        <w:t>22</w:t>
      </w:r>
      <w:r w:rsidR="00B55712" w:rsidRPr="006E4BAF">
        <w:rPr>
          <w:rFonts w:ascii="Arial" w:hAnsi="Arial" w:cs="Arial"/>
          <w:sz w:val="20"/>
          <w:szCs w:val="20"/>
        </w:rPr>
        <w:t>/20</w:t>
      </w:r>
      <w:r w:rsidR="00FB000B">
        <w:rPr>
          <w:rFonts w:ascii="Arial" w:hAnsi="Arial" w:cs="Arial"/>
          <w:sz w:val="20"/>
          <w:szCs w:val="20"/>
        </w:rPr>
        <w:t>10</w:t>
      </w:r>
      <w:r w:rsidR="00A43035" w:rsidRPr="006E4BAF">
        <w:rPr>
          <w:rFonts w:ascii="Arial" w:hAnsi="Arial" w:cs="Arial"/>
          <w:sz w:val="20"/>
          <w:szCs w:val="20"/>
        </w:rPr>
        <w:t xml:space="preserve">, </w:t>
      </w:r>
      <w:r w:rsidR="006E4BAF" w:rsidRPr="006E4BAF">
        <w:rPr>
          <w:rFonts w:ascii="Arial" w:hAnsi="Arial" w:cs="Arial"/>
          <w:sz w:val="20"/>
          <w:szCs w:val="20"/>
        </w:rPr>
        <w:t xml:space="preserve">as aplicações previstas na alínea “a”, </w:t>
      </w:r>
      <w:r w:rsidR="00E94BC6">
        <w:rPr>
          <w:rFonts w:ascii="Arial" w:hAnsi="Arial" w:cs="Arial"/>
          <w:sz w:val="20"/>
          <w:szCs w:val="20"/>
        </w:rPr>
        <w:t>i</w:t>
      </w:r>
      <w:r w:rsidR="006E4BAF" w:rsidRPr="006E4BAF">
        <w:rPr>
          <w:rFonts w:ascii="Arial" w:hAnsi="Arial" w:cs="Arial"/>
          <w:sz w:val="20"/>
          <w:szCs w:val="20"/>
        </w:rPr>
        <w:t xml:space="preserve">nciso I, art. </w:t>
      </w:r>
      <w:r w:rsidR="00FB000B">
        <w:rPr>
          <w:rFonts w:ascii="Arial" w:hAnsi="Arial" w:cs="Arial"/>
          <w:sz w:val="20"/>
          <w:szCs w:val="20"/>
        </w:rPr>
        <w:t>7</w:t>
      </w:r>
      <w:r w:rsidR="006E4BAF" w:rsidRPr="006E4BAF">
        <w:rPr>
          <w:rFonts w:ascii="Arial" w:hAnsi="Arial" w:cs="Arial"/>
          <w:sz w:val="20"/>
          <w:szCs w:val="20"/>
        </w:rPr>
        <w:t>º, deverão ser realizadas por meio de plataformas eletrônicas administradas por sistemas autorizados a funcionar pelo Banco Central do Brasil ou pela Comissão de Valores Mobiliários (CVM) nas suas respectivas áreas de competência, admitindo-se</w:t>
      </w:r>
      <w:r w:rsidR="00171A68">
        <w:rPr>
          <w:rFonts w:ascii="Arial" w:hAnsi="Arial" w:cs="Arial"/>
          <w:sz w:val="20"/>
          <w:szCs w:val="20"/>
        </w:rPr>
        <w:t>,</w:t>
      </w:r>
      <w:r w:rsidR="006E4BAF" w:rsidRPr="006E4BAF">
        <w:rPr>
          <w:rFonts w:ascii="Arial" w:hAnsi="Arial" w:cs="Arial"/>
          <w:sz w:val="20"/>
          <w:szCs w:val="20"/>
        </w:rPr>
        <w:t xml:space="preserve"> ainda, aquisições em ofertas públicas do Tesouro Nacional por intermédio das instituições regularmente habilitadas, desde que possam ser devidamente comprovadas</w:t>
      </w:r>
      <w:r w:rsidR="00A43035" w:rsidRPr="006E4BAF">
        <w:rPr>
          <w:rFonts w:ascii="Arial" w:hAnsi="Arial" w:cs="Arial"/>
          <w:sz w:val="20"/>
          <w:szCs w:val="20"/>
        </w:rPr>
        <w:t>.</w:t>
      </w:r>
    </w:p>
    <w:p w:rsidR="00AC5D48" w:rsidRDefault="00AC5D48" w:rsidP="00420F27">
      <w:pPr>
        <w:autoSpaceDE w:val="0"/>
        <w:autoSpaceDN w:val="0"/>
        <w:adjustRightInd w:val="0"/>
        <w:spacing w:after="80" w:line="312" w:lineRule="auto"/>
        <w:ind w:firstLine="1418"/>
        <w:jc w:val="both"/>
        <w:rPr>
          <w:rFonts w:ascii="Arial" w:hAnsi="Arial" w:cs="Arial"/>
          <w:sz w:val="20"/>
          <w:szCs w:val="20"/>
        </w:rPr>
      </w:pPr>
    </w:p>
    <w:p w:rsidR="00AC5D48" w:rsidRPr="006E4BAF" w:rsidRDefault="00AC5D48" w:rsidP="00420F27">
      <w:pPr>
        <w:autoSpaceDE w:val="0"/>
        <w:autoSpaceDN w:val="0"/>
        <w:adjustRightInd w:val="0"/>
        <w:spacing w:after="80" w:line="312" w:lineRule="auto"/>
        <w:ind w:firstLine="1418"/>
        <w:jc w:val="both"/>
        <w:rPr>
          <w:rFonts w:ascii="Arial" w:hAnsi="Arial" w:cs="Arial"/>
          <w:sz w:val="20"/>
          <w:szCs w:val="20"/>
        </w:rPr>
      </w:pPr>
    </w:p>
    <w:p w:rsidR="00B55712" w:rsidRPr="002760AA" w:rsidRDefault="00C72CEE" w:rsidP="00420F27">
      <w:pPr>
        <w:pStyle w:val="Ttulo1"/>
        <w:numPr>
          <w:ilvl w:val="0"/>
          <w:numId w:val="0"/>
        </w:numPr>
        <w:tabs>
          <w:tab w:val="left" w:pos="1134"/>
        </w:tabs>
        <w:spacing w:before="0" w:after="80"/>
        <w:jc w:val="both"/>
        <w:rPr>
          <w:bCs w:val="0"/>
          <w:color w:val="000000"/>
          <w:sz w:val="24"/>
          <w:szCs w:val="24"/>
        </w:rPr>
      </w:pPr>
      <w:r w:rsidRPr="002760AA">
        <w:rPr>
          <w:bCs w:val="0"/>
          <w:color w:val="000000"/>
          <w:sz w:val="24"/>
          <w:szCs w:val="24"/>
        </w:rPr>
        <w:t>8</w:t>
      </w:r>
      <w:r w:rsidR="00FF38B8">
        <w:rPr>
          <w:bCs w:val="0"/>
          <w:color w:val="000000"/>
          <w:sz w:val="24"/>
          <w:szCs w:val="24"/>
        </w:rPr>
        <w:t xml:space="preserve"> - </w:t>
      </w:r>
      <w:r w:rsidR="00B55712" w:rsidRPr="002760AA">
        <w:rPr>
          <w:bCs w:val="0"/>
          <w:color w:val="000000"/>
          <w:sz w:val="24"/>
          <w:szCs w:val="24"/>
        </w:rPr>
        <w:t>DISPOSIÇÕES GERAIS</w:t>
      </w:r>
    </w:p>
    <w:p w:rsidR="0034258D" w:rsidRDefault="007A30D6" w:rsidP="00420F27">
      <w:pPr>
        <w:autoSpaceDE w:val="0"/>
        <w:autoSpaceDN w:val="0"/>
        <w:adjustRightInd w:val="0"/>
        <w:spacing w:after="80" w:line="312" w:lineRule="auto"/>
        <w:ind w:firstLine="1418"/>
        <w:jc w:val="both"/>
        <w:rPr>
          <w:rFonts w:ascii="Arial" w:hAnsi="Arial" w:cs="Arial"/>
          <w:bCs/>
          <w:color w:val="000000"/>
          <w:sz w:val="20"/>
          <w:szCs w:val="20"/>
        </w:rPr>
      </w:pPr>
      <w:r w:rsidRPr="002760AA">
        <w:rPr>
          <w:rFonts w:ascii="Arial" w:hAnsi="Arial" w:cs="Arial"/>
          <w:bCs/>
          <w:color w:val="000000"/>
          <w:sz w:val="20"/>
          <w:szCs w:val="20"/>
        </w:rPr>
        <w:t>A</w:t>
      </w:r>
      <w:r w:rsidR="00202860" w:rsidRPr="002760AA">
        <w:rPr>
          <w:rFonts w:ascii="Arial" w:hAnsi="Arial" w:cs="Arial"/>
          <w:bCs/>
          <w:color w:val="000000"/>
          <w:sz w:val="20"/>
          <w:szCs w:val="20"/>
        </w:rPr>
        <w:t>s</w:t>
      </w:r>
      <w:r w:rsidR="00C82FF3">
        <w:rPr>
          <w:rFonts w:ascii="Arial" w:hAnsi="Arial" w:cs="Arial"/>
          <w:bCs/>
          <w:color w:val="000000"/>
          <w:sz w:val="20"/>
          <w:szCs w:val="20"/>
        </w:rPr>
        <w:t xml:space="preserve"> </w:t>
      </w:r>
      <w:r w:rsidR="00202860" w:rsidRPr="002760AA">
        <w:rPr>
          <w:rFonts w:ascii="Arial" w:hAnsi="Arial" w:cs="Arial"/>
          <w:bCs/>
          <w:color w:val="000000"/>
          <w:sz w:val="20"/>
          <w:szCs w:val="20"/>
        </w:rPr>
        <w:t xml:space="preserve">Instituições Financeiras </w:t>
      </w:r>
      <w:r w:rsidR="00683C90" w:rsidRPr="002760AA">
        <w:rPr>
          <w:rFonts w:ascii="Arial" w:hAnsi="Arial" w:cs="Arial"/>
          <w:bCs/>
          <w:color w:val="000000"/>
          <w:sz w:val="20"/>
          <w:szCs w:val="20"/>
        </w:rPr>
        <w:t>que operem e</w:t>
      </w:r>
      <w:r w:rsidR="0033064C" w:rsidRPr="002760AA">
        <w:rPr>
          <w:rFonts w:ascii="Arial" w:hAnsi="Arial" w:cs="Arial"/>
          <w:bCs/>
          <w:color w:val="000000"/>
          <w:sz w:val="20"/>
          <w:szCs w:val="20"/>
        </w:rPr>
        <w:t>/ou</w:t>
      </w:r>
      <w:r w:rsidR="00683C90" w:rsidRPr="002760AA">
        <w:rPr>
          <w:rFonts w:ascii="Arial" w:hAnsi="Arial" w:cs="Arial"/>
          <w:bCs/>
          <w:color w:val="000000"/>
          <w:sz w:val="20"/>
          <w:szCs w:val="20"/>
        </w:rPr>
        <w:t xml:space="preserve"> que venham a operar com a AMPREV</w:t>
      </w:r>
      <w:r w:rsidR="00C82FF3">
        <w:rPr>
          <w:rFonts w:ascii="Arial" w:hAnsi="Arial" w:cs="Arial"/>
          <w:bCs/>
          <w:color w:val="000000"/>
          <w:sz w:val="20"/>
          <w:szCs w:val="20"/>
        </w:rPr>
        <w:t xml:space="preserve"> </w:t>
      </w:r>
      <w:r w:rsidR="00675BCA" w:rsidRPr="002760AA">
        <w:rPr>
          <w:rFonts w:ascii="Arial" w:hAnsi="Arial" w:cs="Arial"/>
          <w:bCs/>
          <w:color w:val="000000"/>
          <w:sz w:val="20"/>
          <w:szCs w:val="20"/>
        </w:rPr>
        <w:t>pod</w:t>
      </w:r>
      <w:r w:rsidR="00544BE3" w:rsidRPr="002760AA">
        <w:rPr>
          <w:rFonts w:ascii="Arial" w:hAnsi="Arial" w:cs="Arial"/>
          <w:bCs/>
          <w:color w:val="000000"/>
          <w:sz w:val="20"/>
          <w:szCs w:val="20"/>
        </w:rPr>
        <w:t>erão</w:t>
      </w:r>
      <w:r w:rsidR="0033064C" w:rsidRPr="002760AA">
        <w:rPr>
          <w:rFonts w:ascii="Arial" w:hAnsi="Arial" w:cs="Arial"/>
          <w:bCs/>
          <w:color w:val="000000"/>
          <w:sz w:val="20"/>
          <w:szCs w:val="20"/>
        </w:rPr>
        <w:t>,</w:t>
      </w:r>
      <w:r w:rsidR="00104A67">
        <w:rPr>
          <w:rFonts w:ascii="Arial" w:hAnsi="Arial" w:cs="Arial"/>
          <w:bCs/>
          <w:color w:val="000000"/>
          <w:sz w:val="20"/>
          <w:szCs w:val="20"/>
        </w:rPr>
        <w:t xml:space="preserve"> </w:t>
      </w:r>
      <w:r w:rsidR="00675BCA" w:rsidRPr="002760AA">
        <w:rPr>
          <w:rFonts w:ascii="Arial" w:hAnsi="Arial" w:cs="Arial"/>
          <w:bCs/>
          <w:color w:val="000000"/>
          <w:sz w:val="20"/>
          <w:szCs w:val="20"/>
        </w:rPr>
        <w:t>a título institucional, dar</w:t>
      </w:r>
      <w:r w:rsidR="00F7033E" w:rsidRPr="002760AA">
        <w:rPr>
          <w:rFonts w:ascii="Arial" w:hAnsi="Arial" w:cs="Arial"/>
          <w:bCs/>
          <w:color w:val="000000"/>
          <w:sz w:val="20"/>
          <w:szCs w:val="20"/>
        </w:rPr>
        <w:t xml:space="preserve"> apoio </w:t>
      </w:r>
      <w:r w:rsidR="00AF1A2A" w:rsidRPr="002760AA">
        <w:rPr>
          <w:rFonts w:ascii="Arial" w:hAnsi="Arial" w:cs="Arial"/>
          <w:bCs/>
          <w:color w:val="000000"/>
          <w:sz w:val="20"/>
          <w:szCs w:val="20"/>
        </w:rPr>
        <w:t xml:space="preserve">técnico </w:t>
      </w:r>
      <w:r w:rsidR="00F7033E" w:rsidRPr="002760AA">
        <w:rPr>
          <w:rFonts w:ascii="Arial" w:hAnsi="Arial" w:cs="Arial"/>
          <w:bCs/>
          <w:color w:val="000000"/>
          <w:sz w:val="20"/>
          <w:szCs w:val="20"/>
        </w:rPr>
        <w:t>através de cursos</w:t>
      </w:r>
      <w:r w:rsidR="00675BCA" w:rsidRPr="002760AA">
        <w:rPr>
          <w:rFonts w:ascii="Arial" w:hAnsi="Arial" w:cs="Arial"/>
          <w:bCs/>
          <w:color w:val="000000"/>
          <w:sz w:val="20"/>
          <w:szCs w:val="20"/>
        </w:rPr>
        <w:t>,</w:t>
      </w:r>
      <w:r w:rsidR="00F7033E" w:rsidRPr="002760AA">
        <w:rPr>
          <w:rFonts w:ascii="Arial" w:hAnsi="Arial" w:cs="Arial"/>
          <w:bCs/>
          <w:color w:val="000000"/>
          <w:sz w:val="20"/>
          <w:szCs w:val="20"/>
        </w:rPr>
        <w:t xml:space="preserve"> seminários</w:t>
      </w:r>
      <w:r w:rsidR="00675BCA" w:rsidRPr="002760AA">
        <w:rPr>
          <w:rFonts w:ascii="Arial" w:hAnsi="Arial" w:cs="Arial"/>
          <w:bCs/>
          <w:color w:val="000000"/>
          <w:sz w:val="20"/>
          <w:szCs w:val="20"/>
        </w:rPr>
        <w:t xml:space="preserve"> e </w:t>
      </w:r>
      <w:r w:rsidR="00675BCA" w:rsidRPr="002760AA">
        <w:rPr>
          <w:rFonts w:ascii="Arial" w:hAnsi="Arial" w:cs="Arial"/>
          <w:bCs/>
          <w:i/>
          <w:color w:val="000000"/>
          <w:sz w:val="20"/>
          <w:szCs w:val="20"/>
        </w:rPr>
        <w:t>workshop</w:t>
      </w:r>
      <w:r w:rsidR="00F27FF4">
        <w:rPr>
          <w:rFonts w:ascii="Arial" w:hAnsi="Arial" w:cs="Arial"/>
          <w:bCs/>
          <w:i/>
          <w:color w:val="000000"/>
          <w:sz w:val="20"/>
          <w:szCs w:val="20"/>
        </w:rPr>
        <w:t>s</w:t>
      </w:r>
      <w:r w:rsidR="00F7033E" w:rsidRPr="002760AA">
        <w:rPr>
          <w:rFonts w:ascii="Arial" w:hAnsi="Arial" w:cs="Arial"/>
          <w:bCs/>
          <w:color w:val="000000"/>
          <w:sz w:val="20"/>
          <w:szCs w:val="20"/>
        </w:rPr>
        <w:t xml:space="preserve"> ministrados por profissionais de mercado</w:t>
      </w:r>
      <w:r w:rsidR="00AF1A2A" w:rsidRPr="002760AA">
        <w:rPr>
          <w:rFonts w:ascii="Arial" w:hAnsi="Arial" w:cs="Arial"/>
          <w:bCs/>
          <w:color w:val="000000"/>
          <w:sz w:val="20"/>
          <w:szCs w:val="20"/>
        </w:rPr>
        <w:t xml:space="preserve"> e/ou funcionários das </w:t>
      </w:r>
      <w:r w:rsidR="00171A68">
        <w:rPr>
          <w:rFonts w:ascii="Arial" w:hAnsi="Arial" w:cs="Arial"/>
          <w:bCs/>
          <w:color w:val="000000"/>
          <w:sz w:val="20"/>
          <w:szCs w:val="20"/>
        </w:rPr>
        <w:t>i</w:t>
      </w:r>
      <w:r w:rsidR="00AF1A2A" w:rsidRPr="002760AA">
        <w:rPr>
          <w:rFonts w:ascii="Arial" w:hAnsi="Arial" w:cs="Arial"/>
          <w:bCs/>
          <w:color w:val="000000"/>
          <w:sz w:val="20"/>
          <w:szCs w:val="20"/>
        </w:rPr>
        <w:t>nstituições</w:t>
      </w:r>
      <w:r w:rsidR="00F7033E" w:rsidRPr="002760AA">
        <w:rPr>
          <w:rFonts w:ascii="Arial" w:hAnsi="Arial" w:cs="Arial"/>
          <w:bCs/>
          <w:color w:val="000000"/>
          <w:sz w:val="20"/>
          <w:szCs w:val="20"/>
        </w:rPr>
        <w:t xml:space="preserve"> para capacitação de servidores e membros dos Conselhos</w:t>
      </w:r>
      <w:r w:rsidR="00171A68">
        <w:rPr>
          <w:rFonts w:ascii="Arial" w:hAnsi="Arial" w:cs="Arial"/>
          <w:bCs/>
          <w:color w:val="000000"/>
          <w:sz w:val="20"/>
          <w:szCs w:val="20"/>
        </w:rPr>
        <w:t>,</w:t>
      </w:r>
      <w:r w:rsidR="005F3E6A" w:rsidRPr="002760AA">
        <w:rPr>
          <w:rFonts w:ascii="Arial" w:hAnsi="Arial" w:cs="Arial"/>
          <w:bCs/>
          <w:color w:val="000000"/>
          <w:sz w:val="20"/>
          <w:szCs w:val="20"/>
        </w:rPr>
        <w:t xml:space="preserve"> bem como</w:t>
      </w:r>
      <w:r w:rsidR="00171A68">
        <w:rPr>
          <w:rFonts w:ascii="Arial" w:hAnsi="Arial" w:cs="Arial"/>
          <w:bCs/>
          <w:color w:val="000000"/>
          <w:sz w:val="20"/>
          <w:szCs w:val="20"/>
        </w:rPr>
        <w:t xml:space="preserve"> oferecer</w:t>
      </w:r>
      <w:r w:rsidR="00441C79">
        <w:rPr>
          <w:rFonts w:ascii="Arial" w:hAnsi="Arial" w:cs="Arial"/>
          <w:bCs/>
          <w:color w:val="000000"/>
          <w:sz w:val="20"/>
          <w:szCs w:val="20"/>
        </w:rPr>
        <w:t xml:space="preserve"> essas franquias</w:t>
      </w:r>
      <w:r w:rsidR="005F3E6A" w:rsidRPr="002760AA">
        <w:rPr>
          <w:rFonts w:ascii="Arial" w:hAnsi="Arial" w:cs="Arial"/>
          <w:bCs/>
          <w:color w:val="000000"/>
          <w:sz w:val="20"/>
          <w:szCs w:val="20"/>
        </w:rPr>
        <w:t>,</w:t>
      </w:r>
      <w:r w:rsidR="00171A68">
        <w:rPr>
          <w:rFonts w:ascii="Arial" w:hAnsi="Arial" w:cs="Arial"/>
          <w:bCs/>
          <w:color w:val="000000"/>
          <w:sz w:val="20"/>
          <w:szCs w:val="20"/>
        </w:rPr>
        <w:t xml:space="preserve"> em</w:t>
      </w:r>
      <w:r w:rsidR="00C82FF3">
        <w:rPr>
          <w:rFonts w:ascii="Arial" w:hAnsi="Arial" w:cs="Arial"/>
          <w:bCs/>
          <w:color w:val="000000"/>
          <w:sz w:val="20"/>
          <w:szCs w:val="20"/>
        </w:rPr>
        <w:t xml:space="preserve"> </w:t>
      </w:r>
      <w:r w:rsidR="00675BCA" w:rsidRPr="002760AA">
        <w:rPr>
          <w:rFonts w:ascii="Arial" w:hAnsi="Arial" w:cs="Arial"/>
          <w:bCs/>
          <w:color w:val="000000"/>
          <w:sz w:val="20"/>
          <w:szCs w:val="20"/>
        </w:rPr>
        <w:t>contraprestação</w:t>
      </w:r>
      <w:r w:rsidR="00171A68">
        <w:rPr>
          <w:rFonts w:ascii="Arial" w:hAnsi="Arial" w:cs="Arial"/>
          <w:bCs/>
          <w:color w:val="000000"/>
          <w:sz w:val="20"/>
          <w:szCs w:val="20"/>
        </w:rPr>
        <w:t xml:space="preserve"> a</w:t>
      </w:r>
      <w:r w:rsidR="00675BCA" w:rsidRPr="002760AA">
        <w:rPr>
          <w:rFonts w:ascii="Arial" w:hAnsi="Arial" w:cs="Arial"/>
          <w:bCs/>
          <w:color w:val="000000"/>
          <w:sz w:val="20"/>
          <w:szCs w:val="20"/>
        </w:rPr>
        <w:t xml:space="preserve"> serviços e projetos de iniciativa da AMPREV, sem </w:t>
      </w:r>
      <w:r w:rsidR="00171A68">
        <w:rPr>
          <w:rFonts w:ascii="Arial" w:hAnsi="Arial" w:cs="Arial"/>
          <w:bCs/>
          <w:color w:val="000000"/>
          <w:sz w:val="20"/>
          <w:szCs w:val="20"/>
        </w:rPr>
        <w:t>nenhum</w:t>
      </w:r>
      <w:r w:rsidR="00675BCA" w:rsidRPr="002760AA">
        <w:rPr>
          <w:rFonts w:ascii="Arial" w:hAnsi="Arial" w:cs="Arial"/>
          <w:bCs/>
          <w:color w:val="000000"/>
          <w:sz w:val="20"/>
          <w:szCs w:val="20"/>
        </w:rPr>
        <w:t xml:space="preserve"> ônus ou compromisso vinculado aos produtos de investimentos</w:t>
      </w:r>
      <w:r w:rsidR="00F7033E" w:rsidRPr="002760AA">
        <w:rPr>
          <w:rFonts w:ascii="Arial" w:hAnsi="Arial" w:cs="Arial"/>
          <w:bCs/>
          <w:color w:val="000000"/>
          <w:sz w:val="20"/>
          <w:szCs w:val="20"/>
        </w:rPr>
        <w:t>.</w:t>
      </w:r>
    </w:p>
    <w:p w:rsidR="00966BB3" w:rsidRPr="002760AA" w:rsidRDefault="00966BB3" w:rsidP="00420F27">
      <w:pPr>
        <w:autoSpaceDE w:val="0"/>
        <w:autoSpaceDN w:val="0"/>
        <w:adjustRightInd w:val="0"/>
        <w:spacing w:after="80" w:line="312" w:lineRule="auto"/>
        <w:ind w:firstLine="1418"/>
        <w:jc w:val="both"/>
        <w:rPr>
          <w:rFonts w:ascii="Arial" w:hAnsi="Arial" w:cs="Arial"/>
          <w:bCs/>
          <w:color w:val="000000"/>
          <w:sz w:val="20"/>
          <w:szCs w:val="20"/>
        </w:rPr>
      </w:pPr>
      <w:r>
        <w:rPr>
          <w:rFonts w:ascii="Arial" w:hAnsi="Arial" w:cs="Arial"/>
          <w:bCs/>
          <w:color w:val="000000"/>
          <w:sz w:val="20"/>
          <w:szCs w:val="20"/>
        </w:rPr>
        <w:t xml:space="preserve">A AMPREV deverá viabilizar os meios e recursos necessários </w:t>
      </w:r>
      <w:r w:rsidR="00441C79">
        <w:rPr>
          <w:rFonts w:ascii="Arial" w:hAnsi="Arial" w:cs="Arial"/>
          <w:bCs/>
          <w:color w:val="000000"/>
          <w:sz w:val="20"/>
          <w:szCs w:val="20"/>
        </w:rPr>
        <w:t>à</w:t>
      </w:r>
      <w:r>
        <w:rPr>
          <w:rFonts w:ascii="Arial" w:hAnsi="Arial" w:cs="Arial"/>
          <w:bCs/>
          <w:color w:val="000000"/>
          <w:sz w:val="20"/>
          <w:szCs w:val="20"/>
        </w:rPr>
        <w:t xml:space="preserve"> efetiva aplicação desta Política de Investimentos, </w:t>
      </w:r>
      <w:r w:rsidR="00441C79">
        <w:rPr>
          <w:rFonts w:ascii="Arial" w:hAnsi="Arial" w:cs="Arial"/>
          <w:bCs/>
          <w:color w:val="000000"/>
          <w:sz w:val="20"/>
          <w:szCs w:val="20"/>
        </w:rPr>
        <w:t>propiciando,</w:t>
      </w:r>
      <w:r>
        <w:rPr>
          <w:rFonts w:ascii="Arial" w:hAnsi="Arial" w:cs="Arial"/>
          <w:bCs/>
          <w:color w:val="000000"/>
          <w:sz w:val="20"/>
          <w:szCs w:val="20"/>
        </w:rPr>
        <w:t xml:space="preserve"> inclusive</w:t>
      </w:r>
      <w:r w:rsidR="00441C79">
        <w:rPr>
          <w:rFonts w:ascii="Arial" w:hAnsi="Arial" w:cs="Arial"/>
          <w:bCs/>
          <w:color w:val="000000"/>
          <w:sz w:val="20"/>
          <w:szCs w:val="20"/>
        </w:rPr>
        <w:t>,</w:t>
      </w:r>
      <w:r>
        <w:rPr>
          <w:rFonts w:ascii="Arial" w:hAnsi="Arial" w:cs="Arial"/>
          <w:bCs/>
          <w:color w:val="000000"/>
          <w:sz w:val="20"/>
          <w:szCs w:val="20"/>
        </w:rPr>
        <w:t xml:space="preserve"> o funcionamento regular e periódico do Comitê de Investimentos, dando suporte à</w:t>
      </w:r>
      <w:r w:rsidR="0077006E">
        <w:rPr>
          <w:rFonts w:ascii="Arial" w:hAnsi="Arial" w:cs="Arial"/>
          <w:bCs/>
          <w:color w:val="000000"/>
          <w:sz w:val="20"/>
          <w:szCs w:val="20"/>
        </w:rPr>
        <w:t>s necessidades de deslocamento do CIAP ou de outros técnicos da AMPREV.</w:t>
      </w:r>
    </w:p>
    <w:p w:rsidR="0077006E" w:rsidRDefault="0077006E" w:rsidP="00420F27">
      <w:pPr>
        <w:autoSpaceDE w:val="0"/>
        <w:autoSpaceDN w:val="0"/>
        <w:adjustRightInd w:val="0"/>
        <w:spacing w:after="80" w:line="312" w:lineRule="auto"/>
        <w:ind w:firstLine="1418"/>
        <w:jc w:val="both"/>
        <w:rPr>
          <w:rFonts w:ascii="Arial" w:hAnsi="Arial" w:cs="Arial"/>
          <w:color w:val="000000"/>
          <w:sz w:val="20"/>
          <w:szCs w:val="20"/>
        </w:rPr>
      </w:pPr>
      <w:r>
        <w:rPr>
          <w:rFonts w:ascii="Arial" w:hAnsi="Arial" w:cs="Arial"/>
          <w:color w:val="000000"/>
          <w:sz w:val="20"/>
          <w:szCs w:val="20"/>
        </w:rPr>
        <w:t>Aplica-se subsidiariamente o contido na Resolução</w:t>
      </w:r>
      <w:r w:rsidRPr="002760AA">
        <w:rPr>
          <w:rFonts w:ascii="Arial" w:hAnsi="Arial" w:cs="Arial"/>
          <w:color w:val="000000"/>
          <w:sz w:val="20"/>
          <w:szCs w:val="20"/>
        </w:rPr>
        <w:t xml:space="preserve"> n° 3.922/2010</w:t>
      </w:r>
      <w:r>
        <w:rPr>
          <w:rFonts w:ascii="Arial" w:hAnsi="Arial" w:cs="Arial"/>
          <w:color w:val="000000"/>
          <w:sz w:val="20"/>
          <w:szCs w:val="20"/>
        </w:rPr>
        <w:t>-CMN.</w:t>
      </w:r>
    </w:p>
    <w:p w:rsidR="00F1149A" w:rsidRPr="002760AA" w:rsidRDefault="0077006E" w:rsidP="00420F27">
      <w:pPr>
        <w:autoSpaceDE w:val="0"/>
        <w:autoSpaceDN w:val="0"/>
        <w:adjustRightInd w:val="0"/>
        <w:spacing w:after="80" w:line="312" w:lineRule="auto"/>
        <w:ind w:firstLine="1418"/>
        <w:jc w:val="both"/>
        <w:rPr>
          <w:rFonts w:ascii="Arial" w:hAnsi="Arial" w:cs="Arial"/>
          <w:color w:val="000000"/>
          <w:sz w:val="20"/>
          <w:szCs w:val="20"/>
        </w:rPr>
      </w:pPr>
      <w:r>
        <w:rPr>
          <w:rFonts w:ascii="Arial" w:hAnsi="Arial" w:cs="Arial"/>
          <w:color w:val="000000"/>
          <w:sz w:val="20"/>
          <w:szCs w:val="20"/>
        </w:rPr>
        <w:t>Os c</w:t>
      </w:r>
      <w:r w:rsidR="00F1149A" w:rsidRPr="002760AA">
        <w:rPr>
          <w:rFonts w:ascii="Arial" w:hAnsi="Arial" w:cs="Arial"/>
          <w:color w:val="000000"/>
          <w:sz w:val="20"/>
          <w:szCs w:val="20"/>
        </w:rPr>
        <w:t xml:space="preserve">asos omissos nesta </w:t>
      </w:r>
      <w:r w:rsidR="00F1149A" w:rsidRPr="002760AA">
        <w:rPr>
          <w:rFonts w:ascii="Arial" w:hAnsi="Arial" w:cs="Arial"/>
          <w:b/>
          <w:bCs/>
          <w:color w:val="000000"/>
          <w:sz w:val="20"/>
          <w:szCs w:val="20"/>
        </w:rPr>
        <w:t>Política de Investimentos</w:t>
      </w:r>
      <w:r w:rsidR="00F1149A" w:rsidRPr="002760AA">
        <w:rPr>
          <w:rFonts w:ascii="Arial" w:hAnsi="Arial" w:cs="Arial"/>
          <w:color w:val="000000"/>
          <w:sz w:val="20"/>
          <w:szCs w:val="20"/>
        </w:rPr>
        <w:t xml:space="preserve"> remetem-se a</w:t>
      </w:r>
      <w:r>
        <w:rPr>
          <w:rFonts w:ascii="Arial" w:hAnsi="Arial" w:cs="Arial"/>
          <w:color w:val="000000"/>
          <w:sz w:val="20"/>
          <w:szCs w:val="20"/>
        </w:rPr>
        <w:t>o Conselho Estadual de Previdência</w:t>
      </w:r>
      <w:r w:rsidR="00104A67">
        <w:rPr>
          <w:rFonts w:ascii="Arial" w:hAnsi="Arial" w:cs="Arial"/>
          <w:color w:val="000000"/>
          <w:sz w:val="20"/>
          <w:szCs w:val="20"/>
        </w:rPr>
        <w:t xml:space="preserve"> </w:t>
      </w:r>
      <w:r>
        <w:rPr>
          <w:rFonts w:ascii="Arial" w:hAnsi="Arial" w:cs="Arial"/>
          <w:color w:val="000000"/>
          <w:sz w:val="20"/>
          <w:szCs w:val="20"/>
        </w:rPr>
        <w:t>-</w:t>
      </w:r>
      <w:r w:rsidR="00104A67">
        <w:rPr>
          <w:rFonts w:ascii="Arial" w:hAnsi="Arial" w:cs="Arial"/>
          <w:color w:val="000000"/>
          <w:sz w:val="20"/>
          <w:szCs w:val="20"/>
        </w:rPr>
        <w:t xml:space="preserve"> </w:t>
      </w:r>
      <w:r>
        <w:rPr>
          <w:rFonts w:ascii="Arial" w:hAnsi="Arial" w:cs="Arial"/>
          <w:color w:val="000000"/>
          <w:sz w:val="20"/>
          <w:szCs w:val="20"/>
        </w:rPr>
        <w:t>CEP.</w:t>
      </w:r>
    </w:p>
    <w:p w:rsidR="006D096B" w:rsidRDefault="00D92F0A" w:rsidP="00420F27">
      <w:pPr>
        <w:autoSpaceDE w:val="0"/>
        <w:autoSpaceDN w:val="0"/>
        <w:adjustRightInd w:val="0"/>
        <w:spacing w:after="80" w:line="312" w:lineRule="auto"/>
        <w:ind w:firstLine="1418"/>
        <w:jc w:val="both"/>
        <w:rPr>
          <w:rFonts w:ascii="Arial" w:hAnsi="Arial" w:cs="Arial"/>
          <w:color w:val="000000"/>
          <w:sz w:val="20"/>
          <w:szCs w:val="20"/>
        </w:rPr>
      </w:pPr>
      <w:r w:rsidRPr="002760AA">
        <w:rPr>
          <w:rFonts w:ascii="Arial" w:hAnsi="Arial" w:cs="Arial"/>
          <w:bCs/>
          <w:color w:val="000000"/>
          <w:sz w:val="20"/>
          <w:szCs w:val="20"/>
        </w:rPr>
        <w:lastRenderedPageBreak/>
        <w:t>É parte integrante desta</w:t>
      </w:r>
      <w:r w:rsidR="00895FF5">
        <w:rPr>
          <w:rFonts w:ascii="Arial" w:hAnsi="Arial" w:cs="Arial"/>
          <w:bCs/>
          <w:color w:val="000000"/>
          <w:sz w:val="20"/>
          <w:szCs w:val="20"/>
        </w:rPr>
        <w:t xml:space="preserve"> </w:t>
      </w:r>
      <w:r w:rsidRPr="002760AA">
        <w:rPr>
          <w:rFonts w:ascii="Arial" w:hAnsi="Arial" w:cs="Arial"/>
          <w:b/>
          <w:bCs/>
          <w:color w:val="000000"/>
          <w:sz w:val="20"/>
          <w:szCs w:val="20"/>
        </w:rPr>
        <w:t>Política de Investimentos</w:t>
      </w:r>
      <w:r w:rsidR="00895FF5">
        <w:rPr>
          <w:rFonts w:ascii="Arial" w:hAnsi="Arial" w:cs="Arial"/>
          <w:b/>
          <w:bCs/>
          <w:color w:val="000000"/>
          <w:sz w:val="20"/>
          <w:szCs w:val="20"/>
        </w:rPr>
        <w:t xml:space="preserve"> </w:t>
      </w:r>
      <w:r w:rsidRPr="002760AA">
        <w:rPr>
          <w:rFonts w:ascii="Arial" w:hAnsi="Arial" w:cs="Arial"/>
          <w:color w:val="000000"/>
          <w:sz w:val="20"/>
          <w:szCs w:val="20"/>
        </w:rPr>
        <w:t xml:space="preserve">cópia da Ata do Conselho Estadual de </w:t>
      </w:r>
      <w:r w:rsidR="00544BE3" w:rsidRPr="002760AA">
        <w:rPr>
          <w:rFonts w:ascii="Arial" w:hAnsi="Arial" w:cs="Arial"/>
          <w:color w:val="000000"/>
          <w:sz w:val="20"/>
          <w:szCs w:val="20"/>
        </w:rPr>
        <w:t>Previdência</w:t>
      </w:r>
      <w:r w:rsidR="00441C79">
        <w:rPr>
          <w:rFonts w:ascii="Arial" w:hAnsi="Arial" w:cs="Arial"/>
          <w:color w:val="000000"/>
          <w:sz w:val="20"/>
          <w:szCs w:val="20"/>
        </w:rPr>
        <w:t>, que aprovou</w:t>
      </w:r>
      <w:r w:rsidRPr="002760AA">
        <w:rPr>
          <w:rFonts w:ascii="Arial" w:hAnsi="Arial" w:cs="Arial"/>
          <w:color w:val="000000"/>
          <w:sz w:val="20"/>
          <w:szCs w:val="20"/>
        </w:rPr>
        <w:t xml:space="preserve"> o presente instrumento, devidamente assinada pelos</w:t>
      </w:r>
      <w:r w:rsidR="0077006E">
        <w:rPr>
          <w:rFonts w:ascii="Arial" w:hAnsi="Arial" w:cs="Arial"/>
          <w:color w:val="000000"/>
          <w:sz w:val="20"/>
          <w:szCs w:val="20"/>
        </w:rPr>
        <w:t xml:space="preserve"> seus</w:t>
      </w:r>
      <w:r w:rsidRPr="002760AA">
        <w:rPr>
          <w:rFonts w:ascii="Arial" w:hAnsi="Arial" w:cs="Arial"/>
          <w:color w:val="000000"/>
          <w:sz w:val="20"/>
          <w:szCs w:val="20"/>
        </w:rPr>
        <w:t xml:space="preserve"> membros.</w:t>
      </w:r>
    </w:p>
    <w:p w:rsidR="003377A4" w:rsidRDefault="003377A4" w:rsidP="00420F27">
      <w:pPr>
        <w:autoSpaceDE w:val="0"/>
        <w:autoSpaceDN w:val="0"/>
        <w:adjustRightInd w:val="0"/>
        <w:spacing w:after="80" w:line="312" w:lineRule="auto"/>
        <w:ind w:firstLine="1418"/>
        <w:jc w:val="both"/>
        <w:rPr>
          <w:rFonts w:ascii="Arial" w:hAnsi="Arial" w:cs="Arial"/>
          <w:color w:val="000000"/>
          <w:sz w:val="20"/>
          <w:szCs w:val="20"/>
        </w:rPr>
      </w:pPr>
      <w:r w:rsidRPr="002760AA">
        <w:rPr>
          <w:rFonts w:ascii="Arial" w:hAnsi="Arial" w:cs="Arial"/>
          <w:color w:val="000000"/>
          <w:sz w:val="20"/>
          <w:szCs w:val="20"/>
        </w:rPr>
        <w:t xml:space="preserve">Macapá, </w:t>
      </w:r>
      <w:r w:rsidR="00F27FF4">
        <w:rPr>
          <w:rFonts w:ascii="Arial" w:hAnsi="Arial" w:cs="Arial"/>
          <w:color w:val="000000"/>
          <w:sz w:val="20"/>
          <w:szCs w:val="20"/>
        </w:rPr>
        <w:t>1</w:t>
      </w:r>
      <w:r w:rsidR="00D25F59">
        <w:rPr>
          <w:rFonts w:ascii="Arial" w:hAnsi="Arial" w:cs="Arial"/>
          <w:color w:val="000000"/>
          <w:sz w:val="20"/>
          <w:szCs w:val="20"/>
        </w:rPr>
        <w:t>5</w:t>
      </w:r>
      <w:r w:rsidRPr="002760AA">
        <w:rPr>
          <w:rFonts w:ascii="Arial" w:hAnsi="Arial" w:cs="Arial"/>
          <w:color w:val="000000"/>
          <w:sz w:val="20"/>
          <w:szCs w:val="20"/>
        </w:rPr>
        <w:t xml:space="preserve"> de </w:t>
      </w:r>
      <w:r w:rsidR="00BF12F7" w:rsidRPr="002760AA">
        <w:rPr>
          <w:rFonts w:ascii="Arial" w:hAnsi="Arial" w:cs="Arial"/>
          <w:color w:val="000000"/>
          <w:sz w:val="20"/>
          <w:szCs w:val="20"/>
        </w:rPr>
        <w:t>dezembr</w:t>
      </w:r>
      <w:r w:rsidRPr="002760AA">
        <w:rPr>
          <w:rFonts w:ascii="Arial" w:hAnsi="Arial" w:cs="Arial"/>
          <w:color w:val="000000"/>
          <w:sz w:val="20"/>
          <w:szCs w:val="20"/>
        </w:rPr>
        <w:t>o de 20</w:t>
      </w:r>
      <w:r w:rsidR="002760AA">
        <w:rPr>
          <w:rFonts w:ascii="Arial" w:hAnsi="Arial" w:cs="Arial"/>
          <w:color w:val="000000"/>
          <w:sz w:val="20"/>
          <w:szCs w:val="20"/>
        </w:rPr>
        <w:t>1</w:t>
      </w:r>
      <w:r w:rsidR="00D25F59">
        <w:rPr>
          <w:rFonts w:ascii="Arial" w:hAnsi="Arial" w:cs="Arial"/>
          <w:color w:val="000000"/>
          <w:sz w:val="20"/>
          <w:szCs w:val="20"/>
        </w:rPr>
        <w:t>4</w:t>
      </w:r>
      <w:r w:rsidR="002760AA">
        <w:rPr>
          <w:rFonts w:ascii="Arial" w:hAnsi="Arial" w:cs="Arial"/>
          <w:color w:val="000000"/>
          <w:sz w:val="20"/>
          <w:szCs w:val="20"/>
        </w:rPr>
        <w:t>.</w:t>
      </w:r>
    </w:p>
    <w:p w:rsidR="005C32DB" w:rsidRDefault="005C32DB" w:rsidP="003377A4">
      <w:pPr>
        <w:autoSpaceDE w:val="0"/>
        <w:autoSpaceDN w:val="0"/>
        <w:adjustRightInd w:val="0"/>
        <w:jc w:val="center"/>
        <w:rPr>
          <w:rFonts w:ascii="Arial" w:hAnsi="Arial" w:cs="Arial"/>
          <w:b/>
          <w:i/>
          <w:sz w:val="20"/>
          <w:szCs w:val="20"/>
        </w:rPr>
      </w:pPr>
    </w:p>
    <w:p w:rsidR="006D096B" w:rsidRDefault="006D096B" w:rsidP="003377A4">
      <w:pPr>
        <w:autoSpaceDE w:val="0"/>
        <w:autoSpaceDN w:val="0"/>
        <w:adjustRightInd w:val="0"/>
        <w:jc w:val="center"/>
        <w:rPr>
          <w:rFonts w:ascii="Arial" w:hAnsi="Arial" w:cs="Arial"/>
          <w:b/>
          <w:sz w:val="20"/>
          <w:szCs w:val="20"/>
        </w:rPr>
      </w:pPr>
    </w:p>
    <w:p w:rsidR="00AC5D48" w:rsidRPr="006D096B" w:rsidRDefault="00AC5D48" w:rsidP="003377A4">
      <w:pPr>
        <w:autoSpaceDE w:val="0"/>
        <w:autoSpaceDN w:val="0"/>
        <w:adjustRightInd w:val="0"/>
        <w:jc w:val="center"/>
        <w:rPr>
          <w:rFonts w:ascii="Arial" w:hAnsi="Arial" w:cs="Arial"/>
          <w:b/>
          <w:sz w:val="20"/>
          <w:szCs w:val="20"/>
        </w:rPr>
      </w:pPr>
    </w:p>
    <w:p w:rsidR="003377A4" w:rsidRPr="006D096B" w:rsidRDefault="004433E5" w:rsidP="003377A4">
      <w:pPr>
        <w:autoSpaceDE w:val="0"/>
        <w:autoSpaceDN w:val="0"/>
        <w:adjustRightInd w:val="0"/>
        <w:jc w:val="center"/>
        <w:rPr>
          <w:rFonts w:ascii="Arial" w:hAnsi="Arial" w:cs="Arial"/>
          <w:b/>
          <w:smallCaps/>
          <w:sz w:val="20"/>
          <w:szCs w:val="20"/>
        </w:rPr>
      </w:pPr>
      <w:r>
        <w:rPr>
          <w:rFonts w:ascii="Arial" w:hAnsi="Arial" w:cs="Arial"/>
          <w:b/>
          <w:smallCaps/>
          <w:sz w:val="20"/>
          <w:szCs w:val="20"/>
        </w:rPr>
        <w:t>CARLOS ROBERTO DOS ANJOS OLIVEIRA</w:t>
      </w:r>
    </w:p>
    <w:p w:rsidR="00446466" w:rsidRPr="006D096B" w:rsidRDefault="00446466" w:rsidP="00446466">
      <w:pPr>
        <w:autoSpaceDE w:val="0"/>
        <w:autoSpaceDN w:val="0"/>
        <w:adjustRightInd w:val="0"/>
        <w:jc w:val="center"/>
        <w:rPr>
          <w:rFonts w:ascii="Arial" w:hAnsi="Arial" w:cs="Arial"/>
          <w:b/>
          <w:sz w:val="20"/>
          <w:szCs w:val="20"/>
        </w:rPr>
      </w:pPr>
      <w:r w:rsidRPr="006D096B">
        <w:rPr>
          <w:rFonts w:ascii="Arial" w:hAnsi="Arial" w:cs="Arial"/>
          <w:b/>
          <w:sz w:val="20"/>
          <w:szCs w:val="20"/>
        </w:rPr>
        <w:t>Diretor</w:t>
      </w:r>
      <w:r w:rsidR="004433E5">
        <w:rPr>
          <w:rFonts w:ascii="Arial" w:hAnsi="Arial" w:cs="Arial"/>
          <w:b/>
          <w:sz w:val="20"/>
          <w:szCs w:val="20"/>
        </w:rPr>
        <w:t>-</w:t>
      </w:r>
      <w:r w:rsidRPr="006D096B">
        <w:rPr>
          <w:rFonts w:ascii="Arial" w:hAnsi="Arial" w:cs="Arial"/>
          <w:b/>
          <w:sz w:val="20"/>
          <w:szCs w:val="20"/>
        </w:rPr>
        <w:t>Presidente</w:t>
      </w:r>
      <w:r w:rsidR="004433E5">
        <w:rPr>
          <w:rFonts w:ascii="Arial" w:hAnsi="Arial" w:cs="Arial"/>
          <w:b/>
          <w:sz w:val="20"/>
          <w:szCs w:val="20"/>
        </w:rPr>
        <w:t>, Interino</w:t>
      </w:r>
    </w:p>
    <w:p w:rsidR="00446466" w:rsidRDefault="00446466" w:rsidP="00446466">
      <w:pPr>
        <w:autoSpaceDE w:val="0"/>
        <w:autoSpaceDN w:val="0"/>
        <w:adjustRightInd w:val="0"/>
        <w:jc w:val="center"/>
        <w:rPr>
          <w:rFonts w:ascii="Arial" w:hAnsi="Arial" w:cs="Arial"/>
          <w:b/>
          <w:sz w:val="20"/>
          <w:szCs w:val="20"/>
        </w:rPr>
      </w:pPr>
      <w:r w:rsidRPr="006D096B">
        <w:rPr>
          <w:rFonts w:ascii="Arial" w:hAnsi="Arial" w:cs="Arial"/>
          <w:b/>
          <w:sz w:val="20"/>
          <w:szCs w:val="20"/>
        </w:rPr>
        <w:t xml:space="preserve">Amapá Previdência </w:t>
      </w:r>
      <w:r w:rsidR="006D096B" w:rsidRPr="006D096B">
        <w:rPr>
          <w:rFonts w:ascii="Arial" w:hAnsi="Arial" w:cs="Arial"/>
          <w:b/>
          <w:sz w:val="20"/>
          <w:szCs w:val="20"/>
        </w:rPr>
        <w:t>–</w:t>
      </w:r>
      <w:r w:rsidRPr="006D096B">
        <w:rPr>
          <w:rFonts w:ascii="Arial" w:hAnsi="Arial" w:cs="Arial"/>
          <w:b/>
          <w:sz w:val="20"/>
          <w:szCs w:val="20"/>
        </w:rPr>
        <w:t xml:space="preserve"> AMPREV</w:t>
      </w:r>
    </w:p>
    <w:p w:rsidR="00895FF5" w:rsidRPr="006D096B" w:rsidRDefault="00895FF5" w:rsidP="00446466">
      <w:pPr>
        <w:autoSpaceDE w:val="0"/>
        <w:autoSpaceDN w:val="0"/>
        <w:adjustRightInd w:val="0"/>
        <w:jc w:val="center"/>
        <w:rPr>
          <w:rFonts w:ascii="Arial" w:hAnsi="Arial" w:cs="Arial"/>
          <w:b/>
          <w:sz w:val="20"/>
          <w:szCs w:val="20"/>
        </w:rPr>
      </w:pPr>
    </w:p>
    <w:p w:rsidR="005C32DB" w:rsidRDefault="005C32DB" w:rsidP="00446466">
      <w:pPr>
        <w:autoSpaceDE w:val="0"/>
        <w:autoSpaceDN w:val="0"/>
        <w:adjustRightInd w:val="0"/>
        <w:jc w:val="center"/>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6D096B" w:rsidRPr="0009632B" w:rsidTr="00006779">
        <w:tc>
          <w:tcPr>
            <w:tcW w:w="9004" w:type="dxa"/>
            <w:tcBorders>
              <w:top w:val="nil"/>
              <w:left w:val="nil"/>
              <w:bottom w:val="nil"/>
              <w:right w:val="nil"/>
            </w:tcBorders>
          </w:tcPr>
          <w:p w:rsidR="006D096B" w:rsidRPr="0009632B" w:rsidRDefault="006D096B" w:rsidP="00687808">
            <w:pPr>
              <w:spacing w:line="360" w:lineRule="auto"/>
              <w:jc w:val="center"/>
              <w:rPr>
                <w:rFonts w:ascii="Arial" w:hAnsi="Arial" w:cs="Arial"/>
                <w:b/>
                <w:bCs/>
                <w:sz w:val="22"/>
                <w:szCs w:val="22"/>
              </w:rPr>
            </w:pPr>
            <w:r w:rsidRPr="0009632B">
              <w:rPr>
                <w:rFonts w:ascii="Arial" w:hAnsi="Arial" w:cs="Arial"/>
                <w:b/>
                <w:bCs/>
                <w:sz w:val="22"/>
                <w:szCs w:val="22"/>
              </w:rPr>
              <w:t>COMITÊ DE INVESTIMENTO DA AMAPÁ PREVIDÊNCIA – CIAP</w:t>
            </w:r>
          </w:p>
          <w:p w:rsidR="00F27FF4" w:rsidRPr="0009632B" w:rsidRDefault="00F27FF4" w:rsidP="00687808">
            <w:pPr>
              <w:spacing w:line="360" w:lineRule="auto"/>
              <w:jc w:val="center"/>
              <w:rPr>
                <w:rFonts w:ascii="Arial" w:hAnsi="Arial" w:cs="Arial"/>
                <w:b/>
                <w:bCs/>
                <w:sz w:val="22"/>
                <w:szCs w:val="22"/>
              </w:rPr>
            </w:pPr>
          </w:p>
          <w:p w:rsidR="00006779" w:rsidRPr="0009632B" w:rsidRDefault="00F27FF4" w:rsidP="00006779">
            <w:pPr>
              <w:jc w:val="both"/>
              <w:rPr>
                <w:rFonts w:ascii="Arial" w:hAnsi="Arial" w:cs="Arial"/>
                <w:bCs/>
                <w:sz w:val="22"/>
                <w:szCs w:val="22"/>
              </w:rPr>
            </w:pPr>
            <w:r w:rsidRPr="0009632B">
              <w:rPr>
                <w:rFonts w:ascii="Arial" w:hAnsi="Arial" w:cs="Arial"/>
                <w:sz w:val="22"/>
                <w:szCs w:val="22"/>
              </w:rPr>
              <w:t>Ladilson Costa Moita</w:t>
            </w:r>
            <w:r w:rsidR="00006779" w:rsidRPr="0009632B">
              <w:rPr>
                <w:rFonts w:ascii="Arial" w:hAnsi="Arial" w:cs="Arial"/>
                <w:sz w:val="22"/>
                <w:szCs w:val="22"/>
              </w:rPr>
              <w:t>:_________________________________</w:t>
            </w:r>
            <w:r w:rsidRPr="0009632B">
              <w:rPr>
                <w:rFonts w:ascii="Arial" w:hAnsi="Arial" w:cs="Arial"/>
                <w:sz w:val="22"/>
                <w:szCs w:val="22"/>
              </w:rPr>
              <w:t>_____________</w:t>
            </w:r>
            <w:r w:rsidR="007137C3" w:rsidRPr="0009632B">
              <w:rPr>
                <w:rFonts w:ascii="Arial" w:hAnsi="Arial" w:cs="Arial"/>
                <w:sz w:val="22"/>
                <w:szCs w:val="22"/>
              </w:rPr>
              <w:t>__</w:t>
            </w:r>
          </w:p>
          <w:p w:rsidR="00006779" w:rsidRPr="0009632B" w:rsidRDefault="00006779" w:rsidP="00006779">
            <w:pPr>
              <w:pStyle w:val="SubTitulo1"/>
              <w:spacing w:before="0" w:after="0" w:line="240" w:lineRule="auto"/>
              <w:rPr>
                <w:rFonts w:cs="Arial"/>
                <w:sz w:val="22"/>
                <w:szCs w:val="22"/>
              </w:rPr>
            </w:pPr>
            <w:r w:rsidRPr="0009632B">
              <w:rPr>
                <w:rFonts w:cs="Arial"/>
                <w:bCs/>
                <w:sz w:val="22"/>
                <w:szCs w:val="22"/>
              </w:rPr>
              <w:t xml:space="preserve">Coordenador e Membro, </w:t>
            </w:r>
            <w:r w:rsidRPr="0009632B">
              <w:rPr>
                <w:rFonts w:cs="Arial"/>
                <w:sz w:val="22"/>
                <w:szCs w:val="22"/>
              </w:rPr>
              <w:t>representante d</w:t>
            </w:r>
            <w:r w:rsidR="004433E5" w:rsidRPr="0009632B">
              <w:rPr>
                <w:rFonts w:cs="Arial"/>
                <w:sz w:val="22"/>
                <w:szCs w:val="22"/>
              </w:rPr>
              <w:t>o Conselho Estadual de Previdência</w:t>
            </w:r>
            <w:r w:rsidR="00915564" w:rsidRPr="0009632B">
              <w:rPr>
                <w:rFonts w:cs="Arial"/>
                <w:sz w:val="22"/>
                <w:szCs w:val="22"/>
              </w:rPr>
              <w:t xml:space="preserve"> </w:t>
            </w:r>
            <w:r w:rsidR="007137C3" w:rsidRPr="0009632B">
              <w:rPr>
                <w:rFonts w:cs="Arial"/>
                <w:sz w:val="22"/>
                <w:szCs w:val="22"/>
              </w:rPr>
              <w:t>–</w:t>
            </w:r>
            <w:r w:rsidR="00915564" w:rsidRPr="0009632B">
              <w:rPr>
                <w:rFonts w:cs="Arial"/>
                <w:sz w:val="22"/>
                <w:szCs w:val="22"/>
              </w:rPr>
              <w:t xml:space="preserve"> </w:t>
            </w:r>
            <w:r w:rsidR="004433E5" w:rsidRPr="0009632B">
              <w:rPr>
                <w:rFonts w:cs="Arial"/>
                <w:sz w:val="22"/>
                <w:szCs w:val="22"/>
              </w:rPr>
              <w:t>CEP</w:t>
            </w:r>
          </w:p>
          <w:p w:rsidR="00006779" w:rsidRPr="0009632B" w:rsidRDefault="00006779" w:rsidP="00006779">
            <w:pPr>
              <w:jc w:val="both"/>
              <w:rPr>
                <w:rFonts w:ascii="Arial" w:hAnsi="Arial" w:cs="Arial"/>
                <w:sz w:val="22"/>
                <w:szCs w:val="22"/>
              </w:rPr>
            </w:pPr>
          </w:p>
          <w:p w:rsidR="007137C3" w:rsidRPr="0009632B" w:rsidRDefault="007137C3" w:rsidP="007137C3">
            <w:pPr>
              <w:jc w:val="both"/>
              <w:rPr>
                <w:rFonts w:ascii="Arial" w:hAnsi="Arial" w:cs="Arial"/>
                <w:sz w:val="22"/>
                <w:szCs w:val="22"/>
              </w:rPr>
            </w:pPr>
            <w:r w:rsidRPr="0009632B">
              <w:rPr>
                <w:rFonts w:ascii="Arial" w:hAnsi="Arial" w:cs="Arial"/>
                <w:bCs/>
                <w:sz w:val="22"/>
                <w:szCs w:val="22"/>
              </w:rPr>
              <w:t>Claudionor Medeiros de Andrade</w:t>
            </w:r>
            <w:r w:rsidRPr="0009632B">
              <w:rPr>
                <w:rFonts w:ascii="Arial" w:hAnsi="Arial" w:cs="Arial"/>
                <w:sz w:val="22"/>
                <w:szCs w:val="22"/>
              </w:rPr>
              <w:t>: ____________________________________</w:t>
            </w:r>
          </w:p>
          <w:p w:rsidR="003434D2" w:rsidRPr="0009632B" w:rsidRDefault="007137C3" w:rsidP="007137C3">
            <w:pPr>
              <w:jc w:val="both"/>
              <w:rPr>
                <w:rFonts w:ascii="Arial" w:hAnsi="Arial" w:cs="Arial"/>
                <w:sz w:val="22"/>
                <w:szCs w:val="22"/>
              </w:rPr>
            </w:pPr>
            <w:r w:rsidRPr="0009632B">
              <w:rPr>
                <w:rFonts w:ascii="Arial" w:hAnsi="Arial" w:cs="Arial"/>
                <w:b/>
                <w:bCs/>
                <w:sz w:val="22"/>
                <w:szCs w:val="22"/>
              </w:rPr>
              <w:t>Membro</w:t>
            </w:r>
            <w:r w:rsidRPr="0009632B">
              <w:rPr>
                <w:rFonts w:ascii="Arial" w:hAnsi="Arial" w:cs="Arial"/>
                <w:b/>
                <w:sz w:val="22"/>
                <w:szCs w:val="22"/>
              </w:rPr>
              <w:t>, representante do Conselho Estadual de Previdência - CEP.</w:t>
            </w:r>
          </w:p>
          <w:p w:rsidR="007137C3" w:rsidRPr="0009632B" w:rsidRDefault="007137C3" w:rsidP="00006779">
            <w:pPr>
              <w:jc w:val="both"/>
              <w:rPr>
                <w:rFonts w:ascii="Arial" w:hAnsi="Arial" w:cs="Arial"/>
                <w:sz w:val="22"/>
                <w:szCs w:val="22"/>
              </w:rPr>
            </w:pPr>
          </w:p>
          <w:p w:rsidR="007137C3" w:rsidRPr="0009632B" w:rsidRDefault="007137C3" w:rsidP="007137C3">
            <w:pPr>
              <w:jc w:val="both"/>
              <w:rPr>
                <w:rFonts w:ascii="Arial" w:hAnsi="Arial" w:cs="Arial"/>
                <w:sz w:val="22"/>
                <w:szCs w:val="22"/>
              </w:rPr>
            </w:pPr>
            <w:r w:rsidRPr="0009632B">
              <w:rPr>
                <w:rFonts w:ascii="Arial" w:hAnsi="Arial" w:cs="Arial"/>
                <w:sz w:val="22"/>
                <w:szCs w:val="22"/>
              </w:rPr>
              <w:t>Carla Ferreira Chagas: _____________________________________________</w:t>
            </w:r>
          </w:p>
          <w:p w:rsidR="007137C3" w:rsidRPr="0009632B" w:rsidRDefault="007137C3" w:rsidP="007137C3">
            <w:pPr>
              <w:jc w:val="both"/>
              <w:rPr>
                <w:rFonts w:ascii="Arial" w:hAnsi="Arial" w:cs="Arial"/>
                <w:b/>
                <w:sz w:val="22"/>
                <w:szCs w:val="22"/>
              </w:rPr>
            </w:pPr>
            <w:r w:rsidRPr="0009632B">
              <w:rPr>
                <w:rFonts w:ascii="Arial" w:hAnsi="Arial" w:cs="Arial"/>
                <w:b/>
                <w:bCs/>
                <w:sz w:val="22"/>
                <w:szCs w:val="22"/>
              </w:rPr>
              <w:t>Membro</w:t>
            </w:r>
            <w:r w:rsidRPr="0009632B">
              <w:rPr>
                <w:rFonts w:ascii="Arial" w:hAnsi="Arial" w:cs="Arial"/>
                <w:b/>
                <w:sz w:val="22"/>
                <w:szCs w:val="22"/>
              </w:rPr>
              <w:t>, representante do Conselho Estadual de Previdência - CEP.</w:t>
            </w:r>
          </w:p>
          <w:p w:rsidR="007137C3" w:rsidRPr="0009632B" w:rsidRDefault="007137C3" w:rsidP="00006779">
            <w:pPr>
              <w:jc w:val="both"/>
              <w:rPr>
                <w:rFonts w:ascii="Arial" w:hAnsi="Arial" w:cs="Arial"/>
                <w:sz w:val="22"/>
                <w:szCs w:val="22"/>
              </w:rPr>
            </w:pPr>
          </w:p>
          <w:p w:rsidR="00006779" w:rsidRPr="0009632B" w:rsidRDefault="00006779" w:rsidP="00006779">
            <w:pPr>
              <w:jc w:val="both"/>
              <w:rPr>
                <w:rFonts w:ascii="Arial" w:hAnsi="Arial" w:cs="Arial"/>
                <w:bCs/>
                <w:sz w:val="22"/>
                <w:szCs w:val="22"/>
              </w:rPr>
            </w:pPr>
            <w:r w:rsidRPr="0009632B">
              <w:rPr>
                <w:rFonts w:ascii="Arial" w:hAnsi="Arial" w:cs="Arial"/>
                <w:sz w:val="22"/>
                <w:szCs w:val="22"/>
              </w:rPr>
              <w:t>Francicleide Marinho Lima</w:t>
            </w:r>
            <w:r w:rsidR="00226A6D">
              <w:rPr>
                <w:rFonts w:ascii="Arial" w:hAnsi="Arial" w:cs="Arial"/>
                <w:sz w:val="22"/>
                <w:szCs w:val="22"/>
              </w:rPr>
              <w:t xml:space="preserve"> da Silva</w:t>
            </w:r>
            <w:r w:rsidRPr="0009632B">
              <w:rPr>
                <w:rFonts w:ascii="Arial" w:hAnsi="Arial" w:cs="Arial"/>
                <w:sz w:val="22"/>
                <w:szCs w:val="22"/>
              </w:rPr>
              <w:t>:_______________________________________</w:t>
            </w:r>
            <w:r w:rsidR="00F27FF4" w:rsidRPr="0009632B">
              <w:rPr>
                <w:rFonts w:ascii="Arial" w:hAnsi="Arial" w:cs="Arial"/>
                <w:sz w:val="22"/>
                <w:szCs w:val="22"/>
              </w:rPr>
              <w:t>___</w:t>
            </w:r>
          </w:p>
          <w:p w:rsidR="00006779" w:rsidRPr="0009632B" w:rsidRDefault="00006779" w:rsidP="00006779">
            <w:pPr>
              <w:pStyle w:val="SubTitulo1"/>
              <w:spacing w:before="0" w:after="0" w:line="240" w:lineRule="auto"/>
              <w:rPr>
                <w:rFonts w:cs="Arial"/>
                <w:sz w:val="22"/>
                <w:szCs w:val="22"/>
              </w:rPr>
            </w:pPr>
            <w:r w:rsidRPr="0009632B">
              <w:rPr>
                <w:rFonts w:cs="Arial"/>
                <w:bCs/>
                <w:sz w:val="22"/>
                <w:szCs w:val="22"/>
              </w:rPr>
              <w:t>Membro</w:t>
            </w:r>
            <w:r w:rsidRPr="0009632B">
              <w:rPr>
                <w:rFonts w:cs="Arial"/>
                <w:sz w:val="22"/>
                <w:szCs w:val="22"/>
              </w:rPr>
              <w:t>, representante da Amapá Previdência – AMPREV.</w:t>
            </w:r>
          </w:p>
          <w:p w:rsidR="003434D2" w:rsidRPr="0009632B" w:rsidRDefault="003434D2" w:rsidP="00006779">
            <w:pPr>
              <w:pStyle w:val="SubTitulo1"/>
              <w:spacing w:before="0" w:after="0" w:line="240" w:lineRule="auto"/>
              <w:rPr>
                <w:rFonts w:cs="Arial"/>
                <w:b w:val="0"/>
                <w:sz w:val="22"/>
                <w:szCs w:val="22"/>
              </w:rPr>
            </w:pPr>
          </w:p>
          <w:p w:rsidR="007137C3" w:rsidRPr="0009632B" w:rsidRDefault="007137C3" w:rsidP="007137C3">
            <w:pPr>
              <w:pStyle w:val="SubTitulo1"/>
              <w:spacing w:before="0" w:after="0" w:line="240" w:lineRule="auto"/>
              <w:rPr>
                <w:rFonts w:cs="Arial"/>
                <w:sz w:val="22"/>
                <w:szCs w:val="22"/>
              </w:rPr>
            </w:pPr>
            <w:r w:rsidRPr="0009632B">
              <w:rPr>
                <w:rFonts w:cs="Arial"/>
                <w:b w:val="0"/>
                <w:sz w:val="22"/>
                <w:szCs w:val="22"/>
              </w:rPr>
              <w:t>Maria Oricélia de Souza Neris Matias</w:t>
            </w:r>
            <w:r w:rsidRPr="0009632B">
              <w:rPr>
                <w:rFonts w:cs="Arial"/>
                <w:sz w:val="22"/>
                <w:szCs w:val="22"/>
              </w:rPr>
              <w:t>:____________________________________</w:t>
            </w:r>
          </w:p>
          <w:p w:rsidR="007137C3" w:rsidRPr="0009632B" w:rsidRDefault="007137C3" w:rsidP="007137C3">
            <w:pPr>
              <w:pStyle w:val="SubTitulo1"/>
              <w:spacing w:before="0" w:after="0" w:line="240" w:lineRule="auto"/>
              <w:rPr>
                <w:rFonts w:cs="Arial"/>
                <w:sz w:val="22"/>
                <w:szCs w:val="22"/>
              </w:rPr>
            </w:pPr>
            <w:r w:rsidRPr="0009632B">
              <w:rPr>
                <w:rFonts w:cs="Arial"/>
                <w:bCs/>
                <w:sz w:val="22"/>
                <w:szCs w:val="22"/>
              </w:rPr>
              <w:t>Membro</w:t>
            </w:r>
            <w:r w:rsidRPr="0009632B">
              <w:rPr>
                <w:rFonts w:cs="Arial"/>
                <w:sz w:val="22"/>
                <w:szCs w:val="22"/>
              </w:rPr>
              <w:t>, representante da Amapá Previdência – AMPREV</w:t>
            </w:r>
          </w:p>
          <w:p w:rsidR="003434D2" w:rsidRPr="0009632B" w:rsidRDefault="003434D2" w:rsidP="00006779">
            <w:pPr>
              <w:jc w:val="both"/>
              <w:rPr>
                <w:rFonts w:ascii="Arial" w:hAnsi="Arial" w:cs="Arial"/>
                <w:sz w:val="22"/>
                <w:szCs w:val="22"/>
              </w:rPr>
            </w:pPr>
          </w:p>
          <w:p w:rsidR="00006779" w:rsidRPr="0009632B" w:rsidRDefault="00006779" w:rsidP="00006779">
            <w:pPr>
              <w:jc w:val="both"/>
              <w:rPr>
                <w:rFonts w:ascii="Arial" w:hAnsi="Arial" w:cs="Arial"/>
                <w:sz w:val="22"/>
                <w:szCs w:val="22"/>
              </w:rPr>
            </w:pPr>
          </w:p>
          <w:p w:rsidR="00150136" w:rsidRPr="0009632B" w:rsidRDefault="00150136" w:rsidP="00217633">
            <w:pPr>
              <w:rPr>
                <w:rFonts w:ascii="Arial" w:hAnsi="Arial" w:cs="Arial"/>
                <w:b/>
                <w:bCs/>
                <w:sz w:val="22"/>
                <w:szCs w:val="22"/>
              </w:rPr>
            </w:pPr>
          </w:p>
        </w:tc>
      </w:tr>
    </w:tbl>
    <w:p w:rsidR="00CE6CF2" w:rsidRPr="0009632B" w:rsidRDefault="00CE6CF2" w:rsidP="004433E5">
      <w:pPr>
        <w:autoSpaceDE w:val="0"/>
        <w:autoSpaceDN w:val="0"/>
        <w:adjustRightInd w:val="0"/>
        <w:jc w:val="center"/>
        <w:rPr>
          <w:rFonts w:ascii="Arial" w:hAnsi="Arial" w:cs="Arial"/>
          <w:sz w:val="22"/>
          <w:szCs w:val="22"/>
        </w:rPr>
      </w:pPr>
    </w:p>
    <w:p w:rsidR="00150136" w:rsidRPr="0009632B" w:rsidRDefault="00150136" w:rsidP="004433E5">
      <w:pPr>
        <w:autoSpaceDE w:val="0"/>
        <w:autoSpaceDN w:val="0"/>
        <w:adjustRightInd w:val="0"/>
        <w:jc w:val="center"/>
        <w:rPr>
          <w:sz w:val="22"/>
          <w:szCs w:val="22"/>
        </w:rPr>
      </w:pPr>
    </w:p>
    <w:sectPr w:rsidR="00150136" w:rsidRPr="0009632B" w:rsidSect="00CE32A3">
      <w:headerReference w:type="default" r:id="rId12"/>
      <w:footerReference w:type="default" r:id="rId13"/>
      <w:headerReference w:type="first" r:id="rId14"/>
      <w:footerReference w:type="first" r:id="rId15"/>
      <w:footnotePr>
        <w:numFmt w:val="lowerRoman"/>
      </w:footnotePr>
      <w:pgSz w:w="11907" w:h="16840" w:code="9"/>
      <w:pgMar w:top="2268" w:right="1418" w:bottom="1701" w:left="1701" w:header="567" w:footer="93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6B" w:rsidRDefault="00EB476B">
      <w:r>
        <w:separator/>
      </w:r>
    </w:p>
  </w:endnote>
  <w:endnote w:type="continuationSeparator" w:id="0">
    <w:p w:rsidR="00EB476B" w:rsidRDefault="00EB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6D" w:rsidRDefault="00A30067" w:rsidP="00B7157D">
    <w:pPr>
      <w:pStyle w:val="Rodap"/>
      <w:pBdr>
        <w:top w:val="threeDEngrave" w:sz="6" w:space="1" w:color="auto"/>
      </w:pBdr>
      <w:ind w:left="-567" w:right="-567"/>
      <w:jc w:val="center"/>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7728" behindDoc="0" locked="0" layoutInCell="1" allowOverlap="1">
              <wp:simplePos x="0" y="0"/>
              <wp:positionH relativeFrom="column">
                <wp:posOffset>5638800</wp:posOffset>
              </wp:positionH>
              <wp:positionV relativeFrom="paragraph">
                <wp:posOffset>-17780</wp:posOffset>
              </wp:positionV>
              <wp:extent cx="457200" cy="43497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A6D" w:rsidRPr="00106495" w:rsidRDefault="00847C3B">
                          <w:pPr>
                            <w:rPr>
                              <w:rFonts w:ascii="Tahoma" w:hAnsi="Tahoma" w:cs="Tahoma"/>
                              <w:sz w:val="16"/>
                              <w:szCs w:val="16"/>
                            </w:rPr>
                          </w:pPr>
                          <w:r w:rsidRPr="00106495">
                            <w:rPr>
                              <w:rStyle w:val="Nmerodepgina"/>
                              <w:rFonts w:ascii="Tahoma" w:hAnsi="Tahoma" w:cs="Tahoma"/>
                              <w:sz w:val="16"/>
                              <w:szCs w:val="16"/>
                            </w:rPr>
                            <w:fldChar w:fldCharType="begin"/>
                          </w:r>
                          <w:r w:rsidR="00226A6D" w:rsidRPr="00106495">
                            <w:rPr>
                              <w:rStyle w:val="Nmerodepgina"/>
                              <w:rFonts w:ascii="Tahoma" w:hAnsi="Tahoma" w:cs="Tahoma"/>
                              <w:sz w:val="16"/>
                              <w:szCs w:val="16"/>
                            </w:rPr>
                            <w:instrText xml:space="preserve"> PAGE </w:instrText>
                          </w:r>
                          <w:r w:rsidRPr="00106495">
                            <w:rPr>
                              <w:rStyle w:val="Nmerodepgina"/>
                              <w:rFonts w:ascii="Tahoma" w:hAnsi="Tahoma" w:cs="Tahoma"/>
                              <w:sz w:val="16"/>
                              <w:szCs w:val="16"/>
                            </w:rPr>
                            <w:fldChar w:fldCharType="separate"/>
                          </w:r>
                          <w:r w:rsidR="00A30067">
                            <w:rPr>
                              <w:rStyle w:val="Nmerodepgina"/>
                              <w:rFonts w:ascii="Tahoma" w:hAnsi="Tahoma" w:cs="Tahoma"/>
                              <w:noProof/>
                              <w:sz w:val="16"/>
                              <w:szCs w:val="16"/>
                            </w:rPr>
                            <w:t>24</w:t>
                          </w:r>
                          <w:r w:rsidRPr="00106495">
                            <w:rPr>
                              <w:rStyle w:val="Nmerodepgina"/>
                              <w:rFonts w:ascii="Tahoma" w:hAnsi="Tahoma" w:cs="Tahom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left:0;text-align:left;margin-left:444pt;margin-top:-1.4pt;width:36pt;height:3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" stroked="f">
              <v:textbox>
                <w:txbxContent>
                  <w:p w:rsidR="00226A6D" w:rsidRPr="00106495" w:rsidRDefault="00847C3B">
                    <w:pPr>
                      <w:rPr>
                        <w:rFonts w:ascii="Tahoma" w:hAnsi="Tahoma" w:cs="Tahoma"/>
                        <w:sz w:val="16"/>
                        <w:szCs w:val="16"/>
                      </w:rPr>
                    </w:pPr>
                    <w:r w:rsidRPr="00106495">
                      <w:rPr>
                        <w:rStyle w:val="Nmerodepgina"/>
                        <w:rFonts w:ascii="Tahoma" w:hAnsi="Tahoma" w:cs="Tahoma"/>
                        <w:sz w:val="16"/>
                        <w:szCs w:val="16"/>
                      </w:rPr>
                      <w:fldChar w:fldCharType="begin"/>
                    </w:r>
                    <w:r w:rsidR="00226A6D" w:rsidRPr="00106495">
                      <w:rPr>
                        <w:rStyle w:val="Nmerodepgina"/>
                        <w:rFonts w:ascii="Tahoma" w:hAnsi="Tahoma" w:cs="Tahoma"/>
                        <w:sz w:val="16"/>
                        <w:szCs w:val="16"/>
                      </w:rPr>
                      <w:instrText xml:space="preserve"> PAGE </w:instrText>
                    </w:r>
                    <w:r w:rsidRPr="00106495">
                      <w:rPr>
                        <w:rStyle w:val="Nmerodepgina"/>
                        <w:rFonts w:ascii="Tahoma" w:hAnsi="Tahoma" w:cs="Tahoma"/>
                        <w:sz w:val="16"/>
                        <w:szCs w:val="16"/>
                      </w:rPr>
                      <w:fldChar w:fldCharType="separate"/>
                    </w:r>
                    <w:r w:rsidR="00A30067">
                      <w:rPr>
                        <w:rStyle w:val="Nmerodepgina"/>
                        <w:rFonts w:ascii="Tahoma" w:hAnsi="Tahoma" w:cs="Tahoma"/>
                        <w:noProof/>
                        <w:sz w:val="16"/>
                        <w:szCs w:val="16"/>
                      </w:rPr>
                      <w:t>24</w:t>
                    </w:r>
                    <w:r w:rsidRPr="00106495">
                      <w:rPr>
                        <w:rStyle w:val="Nmerodepgina"/>
                        <w:rFonts w:ascii="Tahoma" w:hAnsi="Tahoma" w:cs="Tahoma"/>
                        <w:sz w:val="16"/>
                        <w:szCs w:val="16"/>
                      </w:rPr>
                      <w:fldChar w:fldCharType="end"/>
                    </w:r>
                  </w:p>
                </w:txbxContent>
              </v:textbox>
            </v:shape>
          </w:pict>
        </mc:Fallback>
      </mc:AlternateContent>
    </w:r>
    <w:r w:rsidR="00226A6D" w:rsidRPr="005E3B75">
      <w:rPr>
        <w:rFonts w:ascii="Tahoma" w:hAnsi="Tahoma" w:cs="Tahoma"/>
        <w:sz w:val="16"/>
        <w:szCs w:val="16"/>
      </w:rPr>
      <w:t xml:space="preserve">Rua </w:t>
    </w:r>
    <w:r w:rsidR="00226A6D">
      <w:rPr>
        <w:rFonts w:ascii="Tahoma" w:hAnsi="Tahoma" w:cs="Tahoma"/>
        <w:sz w:val="16"/>
        <w:szCs w:val="16"/>
      </w:rPr>
      <w:t>Binga Uchôa</w:t>
    </w:r>
    <w:r w:rsidR="00226A6D" w:rsidRPr="005E3B75">
      <w:rPr>
        <w:rFonts w:ascii="Tahoma" w:hAnsi="Tahoma" w:cs="Tahoma"/>
        <w:sz w:val="16"/>
        <w:szCs w:val="16"/>
      </w:rPr>
      <w:t xml:space="preserve">, 10 - Centro - </w:t>
    </w:r>
    <w:r w:rsidR="00226A6D">
      <w:rPr>
        <w:rFonts w:ascii="Tahoma" w:hAnsi="Tahoma" w:cs="Tahoma"/>
        <w:sz w:val="16"/>
        <w:szCs w:val="16"/>
      </w:rPr>
      <w:t xml:space="preserve">CEP 68900-090 - </w:t>
    </w:r>
    <w:r w:rsidR="00226A6D" w:rsidRPr="005E3B75">
      <w:rPr>
        <w:rFonts w:ascii="Tahoma" w:hAnsi="Tahoma" w:cs="Tahoma"/>
        <w:sz w:val="16"/>
        <w:szCs w:val="16"/>
      </w:rPr>
      <w:t>Macapá/AP - CNPJ 03.281.445/0001-85</w:t>
    </w:r>
    <w:r w:rsidR="00226A6D" w:rsidRPr="00687FA9">
      <w:rPr>
        <w:rFonts w:ascii="Tahoma" w:hAnsi="Tahoma" w:cs="Tahoma"/>
        <w:color w:val="FFFFFF"/>
        <w:sz w:val="16"/>
        <w:szCs w:val="16"/>
      </w:rPr>
      <w:t>.</w:t>
    </w:r>
  </w:p>
  <w:p w:rsidR="00226A6D" w:rsidRPr="004F6085" w:rsidRDefault="00226A6D" w:rsidP="00B7157D">
    <w:pPr>
      <w:pStyle w:val="Rodap"/>
      <w:pBdr>
        <w:top w:val="threeDEngrave" w:sz="6" w:space="1" w:color="auto"/>
      </w:pBdr>
      <w:ind w:left="-567" w:right="-567"/>
      <w:jc w:val="center"/>
    </w:pPr>
    <w:r w:rsidRPr="005E3B75">
      <w:rPr>
        <w:rFonts w:ascii="Tahoma" w:hAnsi="Tahoma" w:cs="Tahoma"/>
        <w:sz w:val="16"/>
        <w:szCs w:val="16"/>
      </w:rPr>
      <w:t xml:space="preserve">Fone: </w:t>
    </w:r>
    <w:r>
      <w:rPr>
        <w:rFonts w:ascii="Tahoma" w:hAnsi="Tahoma" w:cs="Tahoma"/>
        <w:sz w:val="16"/>
        <w:szCs w:val="16"/>
      </w:rPr>
      <w:t xml:space="preserve">55 </w:t>
    </w:r>
    <w:r w:rsidRPr="005E3B75">
      <w:rPr>
        <w:rFonts w:ascii="Tahoma" w:hAnsi="Tahoma" w:cs="Tahoma"/>
        <w:sz w:val="16"/>
        <w:szCs w:val="16"/>
      </w:rPr>
      <w:t xml:space="preserve">(96) </w:t>
    </w:r>
    <w:r>
      <w:rPr>
        <w:rFonts w:ascii="Tahoma" w:hAnsi="Tahoma" w:cs="Tahoma"/>
        <w:sz w:val="16"/>
        <w:szCs w:val="16"/>
      </w:rPr>
      <w:t>4009</w:t>
    </w:r>
    <w:r w:rsidRPr="005E3B75">
      <w:rPr>
        <w:rFonts w:ascii="Tahoma" w:hAnsi="Tahoma" w:cs="Tahoma"/>
        <w:sz w:val="16"/>
        <w:szCs w:val="16"/>
      </w:rPr>
      <w:t>-</w:t>
    </w:r>
    <w:r>
      <w:rPr>
        <w:rFonts w:ascii="Tahoma" w:hAnsi="Tahoma" w:cs="Tahoma"/>
        <w:sz w:val="16"/>
        <w:szCs w:val="16"/>
      </w:rPr>
      <w:t>2401 / 4009-2403 - Fax: (96) 4009-2428</w:t>
    </w:r>
    <w:r w:rsidRPr="005E3B75">
      <w:rPr>
        <w:rFonts w:ascii="Tahoma" w:hAnsi="Tahoma" w:cs="Tahoma"/>
        <w:sz w:val="16"/>
        <w:szCs w:val="16"/>
      </w:rPr>
      <w:t xml:space="preserve"> - e</w:t>
    </w:r>
    <w:r>
      <w:rPr>
        <w:rFonts w:ascii="Tahoma" w:hAnsi="Tahoma" w:cs="Tahoma"/>
        <w:sz w:val="16"/>
        <w:szCs w:val="16"/>
      </w:rPr>
      <w:t>-</w:t>
    </w:r>
    <w:r w:rsidRPr="005E3B75">
      <w:rPr>
        <w:rFonts w:ascii="Tahoma" w:hAnsi="Tahoma" w:cs="Tahoma"/>
        <w:sz w:val="16"/>
        <w:szCs w:val="16"/>
      </w:rPr>
      <w:t xml:space="preserve">mail: </w:t>
    </w:r>
    <w:r>
      <w:rPr>
        <w:rFonts w:ascii="Tahoma" w:hAnsi="Tahoma" w:cs="Tahoma"/>
        <w:sz w:val="16"/>
        <w:szCs w:val="16"/>
      </w:rPr>
      <w:t>amprev@terra.com.br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6D" w:rsidRDefault="00226A6D" w:rsidP="00A43035">
    <w:pPr>
      <w:pStyle w:val="Rodap"/>
      <w:jc w:val="right"/>
    </w:pPr>
  </w:p>
  <w:p w:rsidR="00226A6D" w:rsidRDefault="00226A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6B" w:rsidRDefault="00EB476B">
      <w:r>
        <w:separator/>
      </w:r>
    </w:p>
  </w:footnote>
  <w:footnote w:type="continuationSeparator" w:id="0">
    <w:p w:rsidR="00EB476B" w:rsidRDefault="00EB4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6D" w:rsidRDefault="00226A6D" w:rsidP="00B7157D">
    <w:pPr>
      <w:pStyle w:val="Cabealho"/>
      <w:pBdr>
        <w:bottom w:val="threeDEngrave" w:sz="6" w:space="1" w:color="auto"/>
      </w:pBdr>
      <w:spacing w:after="80"/>
      <w:ind w:left="-567" w:right="-567"/>
      <w:jc w:val="both"/>
    </w:pPr>
    <w:r>
      <w:rPr>
        <w:noProof/>
      </w:rPr>
      <w:drawing>
        <wp:anchor distT="0" distB="0" distL="0" distR="0" simplePos="0" relativeHeight="251658752" behindDoc="0" locked="0" layoutInCell="1" allowOverlap="1">
          <wp:simplePos x="0" y="0"/>
          <wp:positionH relativeFrom="column">
            <wp:posOffset>-308610</wp:posOffset>
          </wp:positionH>
          <wp:positionV relativeFrom="paragraph">
            <wp:posOffset>118745</wp:posOffset>
          </wp:positionV>
          <wp:extent cx="1558925" cy="637540"/>
          <wp:effectExtent l="19050" t="0" r="3175" b="0"/>
          <wp:wrapSquare wrapText="larges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558925" cy="637540"/>
                  </a:xfrm>
                  <a:prstGeom prst="rect">
                    <a:avLst/>
                  </a:prstGeom>
                  <a:solidFill>
                    <a:srgbClr val="FFFFFF"/>
                  </a:solidFill>
                  <a:ln w="0">
                    <a:noFill/>
                    <a:miter lim="800000"/>
                    <a:headEnd/>
                    <a:tailEnd/>
                  </a:ln>
                </pic:spPr>
              </pic:pic>
            </a:graphicData>
          </a:graphic>
        </wp:anchor>
      </w:drawing>
    </w:r>
  </w:p>
  <w:p w:rsidR="00226A6D" w:rsidRDefault="00226A6D" w:rsidP="00B7157D">
    <w:pPr>
      <w:pStyle w:val="Cabealho"/>
      <w:pBdr>
        <w:bottom w:val="threeDEngrave" w:sz="6" w:space="1" w:color="auto"/>
      </w:pBdr>
      <w:spacing w:after="80"/>
      <w:ind w:left="-567" w:right="-567"/>
      <w:jc w:val="both"/>
    </w:pPr>
  </w:p>
  <w:p w:rsidR="00226A6D" w:rsidRDefault="00226A6D" w:rsidP="00B7157D">
    <w:pPr>
      <w:pStyle w:val="Cabealho"/>
      <w:pBdr>
        <w:bottom w:val="threeDEngrave" w:sz="6" w:space="1" w:color="auto"/>
      </w:pBdr>
      <w:spacing w:after="80"/>
      <w:ind w:left="-567" w:right="-567"/>
      <w:jc w:val="both"/>
    </w:pPr>
  </w:p>
  <w:p w:rsidR="00226A6D" w:rsidRDefault="00226A6D" w:rsidP="00B7157D">
    <w:pPr>
      <w:pStyle w:val="Cabealho"/>
      <w:pBdr>
        <w:bottom w:val="threeDEngrave" w:sz="6" w:space="1" w:color="auto"/>
      </w:pBdr>
      <w:ind w:left="-567" w:right="-567"/>
      <w:jc w:val="both"/>
      <w:rPr>
        <w:sz w:val="10"/>
        <w:szCs w:val="10"/>
      </w:rPr>
    </w:pPr>
  </w:p>
  <w:p w:rsidR="00226A6D" w:rsidRPr="009555BC" w:rsidRDefault="00226A6D" w:rsidP="00B7157D">
    <w:pPr>
      <w:pStyle w:val="Cabealho"/>
      <w:pBdr>
        <w:bottom w:val="threeDEngrave" w:sz="6" w:space="1" w:color="auto"/>
      </w:pBdr>
      <w:ind w:left="-567" w:right="-567"/>
      <w:jc w:val="both"/>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6D" w:rsidRDefault="00A30067">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-1066800</wp:posOffset>
              </wp:positionH>
              <wp:positionV relativeFrom="paragraph">
                <wp:posOffset>259080</wp:posOffset>
              </wp:positionV>
              <wp:extent cx="7709535" cy="260985"/>
              <wp:effectExtent l="0" t="0" r="5715" b="571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9535" cy="26098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06AD2" id="Rectangle 1" o:spid="_x0000_s1026" style="position:absolute;margin-left:-84pt;margin-top:20.4pt;width:607.05pt;height: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I+fwIAAPs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" fillcolor="#00b050"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F092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F61D8"/>
    <w:multiLevelType w:val="hybridMultilevel"/>
    <w:tmpl w:val="69F2E02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
    <w:nsid w:val="011A6148"/>
    <w:multiLevelType w:val="hybridMultilevel"/>
    <w:tmpl w:val="8542CE02"/>
    <w:lvl w:ilvl="0" w:tplc="0416000F">
      <w:start w:val="1"/>
      <w:numFmt w:val="decimal"/>
      <w:lvlText w:val="%1."/>
      <w:lvlJc w:val="left"/>
      <w:pPr>
        <w:tabs>
          <w:tab w:val="num" w:pos="720"/>
        </w:tabs>
        <w:ind w:left="720" w:hanging="360"/>
      </w:pPr>
      <w:rPr>
        <w:rFonts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
    <w:nsid w:val="06E52338"/>
    <w:multiLevelType w:val="hybridMultilevel"/>
    <w:tmpl w:val="9F224C60"/>
    <w:lvl w:ilvl="0" w:tplc="04160003">
      <w:start w:val="1"/>
      <w:numFmt w:val="bullet"/>
      <w:lvlText w:val="o"/>
      <w:lvlJc w:val="left"/>
      <w:pPr>
        <w:tabs>
          <w:tab w:val="num" w:pos="360"/>
        </w:tabs>
        <w:ind w:left="360" w:hanging="360"/>
      </w:pPr>
      <w:rPr>
        <w:rFonts w:ascii="Courier New" w:hAnsi="Courier New" w:cs="Courier New" w:hint="default"/>
      </w:rPr>
    </w:lvl>
    <w:lvl w:ilvl="1" w:tplc="0416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8944EEC"/>
    <w:multiLevelType w:val="multilevel"/>
    <w:tmpl w:val="597A19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nsid w:val="0AB03872"/>
    <w:multiLevelType w:val="hybridMultilevel"/>
    <w:tmpl w:val="3E7C8FD2"/>
    <w:lvl w:ilvl="0" w:tplc="0416000F">
      <w:start w:val="1"/>
      <w:numFmt w:val="decimal"/>
      <w:lvlText w:val="%1."/>
      <w:lvlJc w:val="left"/>
      <w:pPr>
        <w:tabs>
          <w:tab w:val="num" w:pos="1854"/>
        </w:tabs>
        <w:ind w:left="1854" w:hanging="360"/>
      </w:p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6">
    <w:nsid w:val="0FF44109"/>
    <w:multiLevelType w:val="multilevel"/>
    <w:tmpl w:val="E3360B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71816F2"/>
    <w:multiLevelType w:val="hybridMultilevel"/>
    <w:tmpl w:val="09A0BD1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7717B73"/>
    <w:multiLevelType w:val="multilevel"/>
    <w:tmpl w:val="0B88B89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F2A3E03"/>
    <w:multiLevelType w:val="hybridMultilevel"/>
    <w:tmpl w:val="9460BF3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
    <w:nsid w:val="1FA66636"/>
    <w:multiLevelType w:val="hybridMultilevel"/>
    <w:tmpl w:val="FD24D0B4"/>
    <w:lvl w:ilvl="0" w:tplc="04160001">
      <w:start w:val="1"/>
      <w:numFmt w:val="bullet"/>
      <w:lvlText w:val=""/>
      <w:lvlJc w:val="left"/>
      <w:pPr>
        <w:tabs>
          <w:tab w:val="num" w:pos="360"/>
        </w:tabs>
        <w:ind w:left="360" w:hanging="360"/>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2844A11"/>
    <w:multiLevelType w:val="multilevel"/>
    <w:tmpl w:val="FC560FB4"/>
    <w:lvl w:ilvl="0">
      <w:start w:val="1"/>
      <w:numFmt w:val="decimal"/>
      <w:pStyle w:val="Ttulo1"/>
      <w:lvlText w:val="%1"/>
      <w:lvlJc w:val="left"/>
      <w:pPr>
        <w:tabs>
          <w:tab w:val="num" w:pos="432"/>
        </w:tabs>
        <w:ind w:left="432" w:hanging="432"/>
      </w:pPr>
      <w:rPr>
        <w:rFonts w:hint="default"/>
        <w:lang w:val="pt-P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2">
    <w:nsid w:val="22EB57AF"/>
    <w:multiLevelType w:val="multilevel"/>
    <w:tmpl w:val="FD2631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0378C0"/>
    <w:multiLevelType w:val="hybridMultilevel"/>
    <w:tmpl w:val="665E842A"/>
    <w:lvl w:ilvl="0" w:tplc="04160001">
      <w:start w:val="1"/>
      <w:numFmt w:val="bullet"/>
      <w:lvlText w:val=""/>
      <w:lvlJc w:val="left"/>
      <w:pPr>
        <w:tabs>
          <w:tab w:val="num" w:pos="1152"/>
        </w:tabs>
        <w:ind w:left="1152" w:hanging="360"/>
      </w:pPr>
      <w:rPr>
        <w:rFonts w:ascii="Symbol" w:hAnsi="Symbol" w:hint="default"/>
      </w:rPr>
    </w:lvl>
    <w:lvl w:ilvl="1" w:tplc="04160003">
      <w:start w:val="1"/>
      <w:numFmt w:val="bullet"/>
      <w:lvlText w:val="o"/>
      <w:lvlJc w:val="left"/>
      <w:pPr>
        <w:tabs>
          <w:tab w:val="num" w:pos="1872"/>
        </w:tabs>
        <w:ind w:left="1872" w:hanging="360"/>
      </w:pPr>
      <w:rPr>
        <w:rFonts w:ascii="Courier New" w:hAnsi="Courier New" w:cs="Courier New" w:hint="default"/>
      </w:rPr>
    </w:lvl>
    <w:lvl w:ilvl="2" w:tplc="04160005">
      <w:start w:val="1"/>
      <w:numFmt w:val="bullet"/>
      <w:lvlText w:val=""/>
      <w:lvlJc w:val="left"/>
      <w:pPr>
        <w:tabs>
          <w:tab w:val="num" w:pos="2592"/>
        </w:tabs>
        <w:ind w:left="2592" w:hanging="360"/>
      </w:pPr>
      <w:rPr>
        <w:rFonts w:ascii="Wingdings" w:hAnsi="Wingdings" w:hint="default"/>
      </w:rPr>
    </w:lvl>
    <w:lvl w:ilvl="3" w:tplc="04160001" w:tentative="1">
      <w:start w:val="1"/>
      <w:numFmt w:val="bullet"/>
      <w:lvlText w:val=""/>
      <w:lvlJc w:val="left"/>
      <w:pPr>
        <w:tabs>
          <w:tab w:val="num" w:pos="3312"/>
        </w:tabs>
        <w:ind w:left="3312" w:hanging="360"/>
      </w:pPr>
      <w:rPr>
        <w:rFonts w:ascii="Symbol" w:hAnsi="Symbol" w:hint="default"/>
      </w:rPr>
    </w:lvl>
    <w:lvl w:ilvl="4" w:tplc="04160003" w:tentative="1">
      <w:start w:val="1"/>
      <w:numFmt w:val="bullet"/>
      <w:lvlText w:val="o"/>
      <w:lvlJc w:val="left"/>
      <w:pPr>
        <w:tabs>
          <w:tab w:val="num" w:pos="4032"/>
        </w:tabs>
        <w:ind w:left="4032" w:hanging="360"/>
      </w:pPr>
      <w:rPr>
        <w:rFonts w:ascii="Courier New" w:hAnsi="Courier New" w:cs="Courier New" w:hint="default"/>
      </w:rPr>
    </w:lvl>
    <w:lvl w:ilvl="5" w:tplc="04160005" w:tentative="1">
      <w:start w:val="1"/>
      <w:numFmt w:val="bullet"/>
      <w:lvlText w:val=""/>
      <w:lvlJc w:val="left"/>
      <w:pPr>
        <w:tabs>
          <w:tab w:val="num" w:pos="4752"/>
        </w:tabs>
        <w:ind w:left="4752" w:hanging="360"/>
      </w:pPr>
      <w:rPr>
        <w:rFonts w:ascii="Wingdings" w:hAnsi="Wingdings" w:hint="default"/>
      </w:rPr>
    </w:lvl>
    <w:lvl w:ilvl="6" w:tplc="04160001" w:tentative="1">
      <w:start w:val="1"/>
      <w:numFmt w:val="bullet"/>
      <w:lvlText w:val=""/>
      <w:lvlJc w:val="left"/>
      <w:pPr>
        <w:tabs>
          <w:tab w:val="num" w:pos="5472"/>
        </w:tabs>
        <w:ind w:left="5472" w:hanging="360"/>
      </w:pPr>
      <w:rPr>
        <w:rFonts w:ascii="Symbol" w:hAnsi="Symbol" w:hint="default"/>
      </w:rPr>
    </w:lvl>
    <w:lvl w:ilvl="7" w:tplc="04160003" w:tentative="1">
      <w:start w:val="1"/>
      <w:numFmt w:val="bullet"/>
      <w:lvlText w:val="o"/>
      <w:lvlJc w:val="left"/>
      <w:pPr>
        <w:tabs>
          <w:tab w:val="num" w:pos="6192"/>
        </w:tabs>
        <w:ind w:left="6192" w:hanging="360"/>
      </w:pPr>
      <w:rPr>
        <w:rFonts w:ascii="Courier New" w:hAnsi="Courier New" w:cs="Courier New" w:hint="default"/>
      </w:rPr>
    </w:lvl>
    <w:lvl w:ilvl="8" w:tplc="04160005" w:tentative="1">
      <w:start w:val="1"/>
      <w:numFmt w:val="bullet"/>
      <w:lvlText w:val=""/>
      <w:lvlJc w:val="left"/>
      <w:pPr>
        <w:tabs>
          <w:tab w:val="num" w:pos="6912"/>
        </w:tabs>
        <w:ind w:left="6912" w:hanging="360"/>
      </w:pPr>
      <w:rPr>
        <w:rFonts w:ascii="Wingdings" w:hAnsi="Wingdings" w:hint="default"/>
      </w:rPr>
    </w:lvl>
  </w:abstractNum>
  <w:abstractNum w:abstractNumId="14">
    <w:nsid w:val="28062854"/>
    <w:multiLevelType w:val="hybridMultilevel"/>
    <w:tmpl w:val="A66631B8"/>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5">
    <w:nsid w:val="351223B4"/>
    <w:multiLevelType w:val="hybridMultilevel"/>
    <w:tmpl w:val="BECC2B0E"/>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4B7E5E"/>
    <w:multiLevelType w:val="multilevel"/>
    <w:tmpl w:val="494EB04E"/>
    <w:lvl w:ilvl="0">
      <w:start w:val="2"/>
      <w:numFmt w:val="decimal"/>
      <w:lvlText w:val="%1."/>
      <w:lvlJc w:val="left"/>
      <w:pPr>
        <w:ind w:left="360" w:hanging="360"/>
      </w:pPr>
      <w:rPr>
        <w:rFonts w:hint="default"/>
      </w:rPr>
    </w:lvl>
    <w:lvl w:ilvl="1">
      <w:start w:val="2"/>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7">
    <w:nsid w:val="3CDF053A"/>
    <w:multiLevelType w:val="hybridMultilevel"/>
    <w:tmpl w:val="85F20A2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0025687"/>
    <w:multiLevelType w:val="hybridMultilevel"/>
    <w:tmpl w:val="F59E365E"/>
    <w:lvl w:ilvl="0" w:tplc="FFFFFFFF">
      <w:start w:val="1"/>
      <w:numFmt w:val="lowerLetter"/>
      <w:pStyle w:val="Subitem"/>
      <w:lvlText w:val="%1."/>
      <w:lvlJc w:val="left"/>
      <w:pPr>
        <w:tabs>
          <w:tab w:val="num" w:pos="360"/>
        </w:tabs>
        <w:ind w:left="36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39D1439"/>
    <w:multiLevelType w:val="multilevel"/>
    <w:tmpl w:val="486A763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40E074D"/>
    <w:multiLevelType w:val="hybridMultilevel"/>
    <w:tmpl w:val="81422708"/>
    <w:lvl w:ilvl="0" w:tplc="16BEE474">
      <w:start w:val="1"/>
      <w:numFmt w:val="bullet"/>
      <w:pStyle w:val="Lista2"/>
      <w:lvlText w:val=""/>
      <w:lvlJc w:val="left"/>
      <w:pPr>
        <w:tabs>
          <w:tab w:val="num" w:pos="1087"/>
        </w:tabs>
        <w:ind w:left="1087" w:hanging="360"/>
      </w:pPr>
      <w:rPr>
        <w:rFonts w:ascii="Wingdings" w:hAnsi="Wingdings" w:hint="default"/>
      </w:rPr>
    </w:lvl>
    <w:lvl w:ilvl="1" w:tplc="04160003" w:tentative="1">
      <w:start w:val="1"/>
      <w:numFmt w:val="bullet"/>
      <w:lvlText w:val="o"/>
      <w:lvlJc w:val="left"/>
      <w:pPr>
        <w:tabs>
          <w:tab w:val="num" w:pos="1770"/>
        </w:tabs>
        <w:ind w:left="1770" w:hanging="360"/>
      </w:pPr>
      <w:rPr>
        <w:rFonts w:ascii="Courier New" w:hAnsi="Courier New" w:cs="Courier New" w:hint="default"/>
      </w:rPr>
    </w:lvl>
    <w:lvl w:ilvl="2" w:tplc="04160005" w:tentative="1">
      <w:start w:val="1"/>
      <w:numFmt w:val="bullet"/>
      <w:lvlText w:val=""/>
      <w:lvlJc w:val="left"/>
      <w:pPr>
        <w:tabs>
          <w:tab w:val="num" w:pos="2490"/>
        </w:tabs>
        <w:ind w:left="2490" w:hanging="360"/>
      </w:pPr>
      <w:rPr>
        <w:rFonts w:ascii="Wingdings" w:hAnsi="Wingdings" w:hint="default"/>
      </w:rPr>
    </w:lvl>
    <w:lvl w:ilvl="3" w:tplc="04160001" w:tentative="1">
      <w:start w:val="1"/>
      <w:numFmt w:val="bullet"/>
      <w:lvlText w:val=""/>
      <w:lvlJc w:val="left"/>
      <w:pPr>
        <w:tabs>
          <w:tab w:val="num" w:pos="3210"/>
        </w:tabs>
        <w:ind w:left="3210" w:hanging="360"/>
      </w:pPr>
      <w:rPr>
        <w:rFonts w:ascii="Symbol" w:hAnsi="Symbol" w:hint="default"/>
      </w:rPr>
    </w:lvl>
    <w:lvl w:ilvl="4" w:tplc="04160003" w:tentative="1">
      <w:start w:val="1"/>
      <w:numFmt w:val="bullet"/>
      <w:lvlText w:val="o"/>
      <w:lvlJc w:val="left"/>
      <w:pPr>
        <w:tabs>
          <w:tab w:val="num" w:pos="3930"/>
        </w:tabs>
        <w:ind w:left="3930" w:hanging="360"/>
      </w:pPr>
      <w:rPr>
        <w:rFonts w:ascii="Courier New" w:hAnsi="Courier New" w:cs="Courier New" w:hint="default"/>
      </w:rPr>
    </w:lvl>
    <w:lvl w:ilvl="5" w:tplc="04160005" w:tentative="1">
      <w:start w:val="1"/>
      <w:numFmt w:val="bullet"/>
      <w:lvlText w:val=""/>
      <w:lvlJc w:val="left"/>
      <w:pPr>
        <w:tabs>
          <w:tab w:val="num" w:pos="4650"/>
        </w:tabs>
        <w:ind w:left="4650" w:hanging="360"/>
      </w:pPr>
      <w:rPr>
        <w:rFonts w:ascii="Wingdings" w:hAnsi="Wingdings" w:hint="default"/>
      </w:rPr>
    </w:lvl>
    <w:lvl w:ilvl="6" w:tplc="04160001" w:tentative="1">
      <w:start w:val="1"/>
      <w:numFmt w:val="bullet"/>
      <w:lvlText w:val=""/>
      <w:lvlJc w:val="left"/>
      <w:pPr>
        <w:tabs>
          <w:tab w:val="num" w:pos="5370"/>
        </w:tabs>
        <w:ind w:left="5370" w:hanging="360"/>
      </w:pPr>
      <w:rPr>
        <w:rFonts w:ascii="Symbol" w:hAnsi="Symbol" w:hint="default"/>
      </w:rPr>
    </w:lvl>
    <w:lvl w:ilvl="7" w:tplc="04160003" w:tentative="1">
      <w:start w:val="1"/>
      <w:numFmt w:val="bullet"/>
      <w:lvlText w:val="o"/>
      <w:lvlJc w:val="left"/>
      <w:pPr>
        <w:tabs>
          <w:tab w:val="num" w:pos="6090"/>
        </w:tabs>
        <w:ind w:left="6090" w:hanging="360"/>
      </w:pPr>
      <w:rPr>
        <w:rFonts w:ascii="Courier New" w:hAnsi="Courier New" w:cs="Courier New" w:hint="default"/>
      </w:rPr>
    </w:lvl>
    <w:lvl w:ilvl="8" w:tplc="04160005" w:tentative="1">
      <w:start w:val="1"/>
      <w:numFmt w:val="bullet"/>
      <w:lvlText w:val=""/>
      <w:lvlJc w:val="left"/>
      <w:pPr>
        <w:tabs>
          <w:tab w:val="num" w:pos="6810"/>
        </w:tabs>
        <w:ind w:left="6810" w:hanging="360"/>
      </w:pPr>
      <w:rPr>
        <w:rFonts w:ascii="Wingdings" w:hAnsi="Wingdings" w:hint="default"/>
      </w:rPr>
    </w:lvl>
  </w:abstractNum>
  <w:abstractNum w:abstractNumId="21">
    <w:nsid w:val="46F02373"/>
    <w:multiLevelType w:val="hybridMultilevel"/>
    <w:tmpl w:val="3B4C31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2F268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4C791082"/>
    <w:multiLevelType w:val="multilevel"/>
    <w:tmpl w:val="1C3A39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2D87B25"/>
    <w:multiLevelType w:val="hybridMultilevel"/>
    <w:tmpl w:val="0826F3DC"/>
    <w:lvl w:ilvl="0" w:tplc="FFFFFFFF">
      <w:start w:val="1"/>
      <w:numFmt w:val="upperRoman"/>
      <w:lvlText w:val="%1."/>
      <w:lvlJc w:val="right"/>
      <w:pPr>
        <w:tabs>
          <w:tab w:val="num" w:pos="1980"/>
        </w:tabs>
        <w:ind w:left="198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31638C6"/>
    <w:multiLevelType w:val="hybridMultilevel"/>
    <w:tmpl w:val="79F41FCA"/>
    <w:lvl w:ilvl="0" w:tplc="30D4A4C4">
      <w:start w:val="1"/>
      <w:numFmt w:val="lowerLetter"/>
      <w:lvlText w:val="%1)"/>
      <w:lvlJc w:val="left"/>
      <w:pPr>
        <w:tabs>
          <w:tab w:val="num" w:pos="690"/>
        </w:tabs>
        <w:ind w:left="690" w:hanging="360"/>
      </w:pPr>
      <w:rPr>
        <w:rFonts w:hint="default"/>
      </w:rPr>
    </w:lvl>
    <w:lvl w:ilvl="1" w:tplc="04160019" w:tentative="1">
      <w:start w:val="1"/>
      <w:numFmt w:val="lowerLetter"/>
      <w:lvlText w:val="%2."/>
      <w:lvlJc w:val="left"/>
      <w:pPr>
        <w:tabs>
          <w:tab w:val="num" w:pos="1410"/>
        </w:tabs>
        <w:ind w:left="1410" w:hanging="360"/>
      </w:pPr>
    </w:lvl>
    <w:lvl w:ilvl="2" w:tplc="0416001B" w:tentative="1">
      <w:start w:val="1"/>
      <w:numFmt w:val="lowerRoman"/>
      <w:lvlText w:val="%3."/>
      <w:lvlJc w:val="right"/>
      <w:pPr>
        <w:tabs>
          <w:tab w:val="num" w:pos="2130"/>
        </w:tabs>
        <w:ind w:left="2130" w:hanging="180"/>
      </w:pPr>
    </w:lvl>
    <w:lvl w:ilvl="3" w:tplc="0416000F" w:tentative="1">
      <w:start w:val="1"/>
      <w:numFmt w:val="decimal"/>
      <w:lvlText w:val="%4."/>
      <w:lvlJc w:val="left"/>
      <w:pPr>
        <w:tabs>
          <w:tab w:val="num" w:pos="2850"/>
        </w:tabs>
        <w:ind w:left="2850" w:hanging="360"/>
      </w:pPr>
    </w:lvl>
    <w:lvl w:ilvl="4" w:tplc="04160019" w:tentative="1">
      <w:start w:val="1"/>
      <w:numFmt w:val="lowerLetter"/>
      <w:lvlText w:val="%5."/>
      <w:lvlJc w:val="left"/>
      <w:pPr>
        <w:tabs>
          <w:tab w:val="num" w:pos="3570"/>
        </w:tabs>
        <w:ind w:left="3570" w:hanging="360"/>
      </w:pPr>
    </w:lvl>
    <w:lvl w:ilvl="5" w:tplc="0416001B" w:tentative="1">
      <w:start w:val="1"/>
      <w:numFmt w:val="lowerRoman"/>
      <w:lvlText w:val="%6."/>
      <w:lvlJc w:val="right"/>
      <w:pPr>
        <w:tabs>
          <w:tab w:val="num" w:pos="4290"/>
        </w:tabs>
        <w:ind w:left="4290" w:hanging="180"/>
      </w:pPr>
    </w:lvl>
    <w:lvl w:ilvl="6" w:tplc="0416000F" w:tentative="1">
      <w:start w:val="1"/>
      <w:numFmt w:val="decimal"/>
      <w:lvlText w:val="%7."/>
      <w:lvlJc w:val="left"/>
      <w:pPr>
        <w:tabs>
          <w:tab w:val="num" w:pos="5010"/>
        </w:tabs>
        <w:ind w:left="5010" w:hanging="360"/>
      </w:pPr>
    </w:lvl>
    <w:lvl w:ilvl="7" w:tplc="04160019" w:tentative="1">
      <w:start w:val="1"/>
      <w:numFmt w:val="lowerLetter"/>
      <w:lvlText w:val="%8."/>
      <w:lvlJc w:val="left"/>
      <w:pPr>
        <w:tabs>
          <w:tab w:val="num" w:pos="5730"/>
        </w:tabs>
        <w:ind w:left="5730" w:hanging="360"/>
      </w:pPr>
    </w:lvl>
    <w:lvl w:ilvl="8" w:tplc="0416001B" w:tentative="1">
      <w:start w:val="1"/>
      <w:numFmt w:val="lowerRoman"/>
      <w:lvlText w:val="%9."/>
      <w:lvlJc w:val="right"/>
      <w:pPr>
        <w:tabs>
          <w:tab w:val="num" w:pos="6450"/>
        </w:tabs>
        <w:ind w:left="6450" w:hanging="180"/>
      </w:pPr>
    </w:lvl>
  </w:abstractNum>
  <w:abstractNum w:abstractNumId="26">
    <w:nsid w:val="62535F4E"/>
    <w:multiLevelType w:val="multilevel"/>
    <w:tmpl w:val="040EC9B6"/>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E962B7"/>
    <w:multiLevelType w:val="singleLevel"/>
    <w:tmpl w:val="04090013"/>
    <w:lvl w:ilvl="0">
      <w:start w:val="1"/>
      <w:numFmt w:val="upperRoman"/>
      <w:lvlText w:val="%1."/>
      <w:lvlJc w:val="left"/>
      <w:pPr>
        <w:tabs>
          <w:tab w:val="num" w:pos="720"/>
        </w:tabs>
        <w:ind w:left="720" w:hanging="720"/>
      </w:pPr>
    </w:lvl>
  </w:abstractNum>
  <w:abstractNum w:abstractNumId="28">
    <w:nsid w:val="62EB17D7"/>
    <w:multiLevelType w:val="hybridMultilevel"/>
    <w:tmpl w:val="93AEF79A"/>
    <w:lvl w:ilvl="0" w:tplc="0416000F">
      <w:start w:val="1"/>
      <w:numFmt w:val="decimal"/>
      <w:lvlText w:val="%1."/>
      <w:lvlJc w:val="left"/>
      <w:pPr>
        <w:tabs>
          <w:tab w:val="num" w:pos="720"/>
        </w:tabs>
        <w:ind w:left="720" w:hanging="360"/>
      </w:pPr>
      <w:rPr>
        <w:rFonts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9">
    <w:nsid w:val="6CB10488"/>
    <w:multiLevelType w:val="hybridMultilevel"/>
    <w:tmpl w:val="F4783100"/>
    <w:lvl w:ilvl="0" w:tplc="0416000F">
      <w:start w:val="1"/>
      <w:numFmt w:val="decimal"/>
      <w:lvlText w:val="%1."/>
      <w:lvlJc w:val="left"/>
      <w:pPr>
        <w:tabs>
          <w:tab w:val="num" w:pos="720"/>
        </w:tabs>
        <w:ind w:left="720" w:hanging="360"/>
      </w:pPr>
      <w:rPr>
        <w:rFonts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0">
    <w:nsid w:val="7D8A6C8E"/>
    <w:multiLevelType w:val="hybridMultilevel"/>
    <w:tmpl w:val="A6A6B670"/>
    <w:lvl w:ilvl="0" w:tplc="04160001">
      <w:start w:val="1"/>
      <w:numFmt w:val="bullet"/>
      <w:lvlText w:val=""/>
      <w:lvlJc w:val="left"/>
      <w:pPr>
        <w:ind w:left="2214" w:hanging="360"/>
      </w:pPr>
      <w:rPr>
        <w:rFonts w:ascii="Symbol" w:hAnsi="Symbol" w:hint="default"/>
      </w:rPr>
    </w:lvl>
    <w:lvl w:ilvl="1" w:tplc="04160003" w:tentative="1">
      <w:start w:val="1"/>
      <w:numFmt w:val="bullet"/>
      <w:lvlText w:val="o"/>
      <w:lvlJc w:val="left"/>
      <w:pPr>
        <w:ind w:left="2934" w:hanging="360"/>
      </w:pPr>
      <w:rPr>
        <w:rFonts w:ascii="Courier New" w:hAnsi="Courier New" w:cs="Courier New" w:hint="default"/>
      </w:rPr>
    </w:lvl>
    <w:lvl w:ilvl="2" w:tplc="04160005" w:tentative="1">
      <w:start w:val="1"/>
      <w:numFmt w:val="bullet"/>
      <w:lvlText w:val=""/>
      <w:lvlJc w:val="left"/>
      <w:pPr>
        <w:ind w:left="3654" w:hanging="360"/>
      </w:pPr>
      <w:rPr>
        <w:rFonts w:ascii="Wingdings" w:hAnsi="Wingdings" w:hint="default"/>
      </w:rPr>
    </w:lvl>
    <w:lvl w:ilvl="3" w:tplc="04160001" w:tentative="1">
      <w:start w:val="1"/>
      <w:numFmt w:val="bullet"/>
      <w:lvlText w:val=""/>
      <w:lvlJc w:val="left"/>
      <w:pPr>
        <w:ind w:left="4374" w:hanging="360"/>
      </w:pPr>
      <w:rPr>
        <w:rFonts w:ascii="Symbol" w:hAnsi="Symbol" w:hint="default"/>
      </w:rPr>
    </w:lvl>
    <w:lvl w:ilvl="4" w:tplc="04160003" w:tentative="1">
      <w:start w:val="1"/>
      <w:numFmt w:val="bullet"/>
      <w:lvlText w:val="o"/>
      <w:lvlJc w:val="left"/>
      <w:pPr>
        <w:ind w:left="5094" w:hanging="360"/>
      </w:pPr>
      <w:rPr>
        <w:rFonts w:ascii="Courier New" w:hAnsi="Courier New" w:cs="Courier New" w:hint="default"/>
      </w:rPr>
    </w:lvl>
    <w:lvl w:ilvl="5" w:tplc="04160005" w:tentative="1">
      <w:start w:val="1"/>
      <w:numFmt w:val="bullet"/>
      <w:lvlText w:val=""/>
      <w:lvlJc w:val="left"/>
      <w:pPr>
        <w:ind w:left="5814" w:hanging="360"/>
      </w:pPr>
      <w:rPr>
        <w:rFonts w:ascii="Wingdings" w:hAnsi="Wingdings" w:hint="default"/>
      </w:rPr>
    </w:lvl>
    <w:lvl w:ilvl="6" w:tplc="04160001" w:tentative="1">
      <w:start w:val="1"/>
      <w:numFmt w:val="bullet"/>
      <w:lvlText w:val=""/>
      <w:lvlJc w:val="left"/>
      <w:pPr>
        <w:ind w:left="6534" w:hanging="360"/>
      </w:pPr>
      <w:rPr>
        <w:rFonts w:ascii="Symbol" w:hAnsi="Symbol" w:hint="default"/>
      </w:rPr>
    </w:lvl>
    <w:lvl w:ilvl="7" w:tplc="04160003" w:tentative="1">
      <w:start w:val="1"/>
      <w:numFmt w:val="bullet"/>
      <w:lvlText w:val="o"/>
      <w:lvlJc w:val="left"/>
      <w:pPr>
        <w:ind w:left="7254" w:hanging="360"/>
      </w:pPr>
      <w:rPr>
        <w:rFonts w:ascii="Courier New" w:hAnsi="Courier New" w:cs="Courier New" w:hint="default"/>
      </w:rPr>
    </w:lvl>
    <w:lvl w:ilvl="8" w:tplc="04160005" w:tentative="1">
      <w:start w:val="1"/>
      <w:numFmt w:val="bullet"/>
      <w:lvlText w:val=""/>
      <w:lvlJc w:val="left"/>
      <w:pPr>
        <w:ind w:left="7974" w:hanging="360"/>
      </w:pPr>
      <w:rPr>
        <w:rFonts w:ascii="Wingdings" w:hAnsi="Wingdings" w:hint="default"/>
      </w:rPr>
    </w:lvl>
  </w:abstractNum>
  <w:abstractNum w:abstractNumId="31">
    <w:nsid w:val="7DA2749B"/>
    <w:multiLevelType w:val="multilevel"/>
    <w:tmpl w:val="9F224C6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F1F0ACF"/>
    <w:multiLevelType w:val="hybridMultilevel"/>
    <w:tmpl w:val="A9BC3976"/>
    <w:lvl w:ilvl="0" w:tplc="04160005">
      <w:start w:val="1"/>
      <w:numFmt w:val="bullet"/>
      <w:lvlText w:val=""/>
      <w:lvlJc w:val="left"/>
      <w:pPr>
        <w:tabs>
          <w:tab w:val="num" w:pos="1087"/>
        </w:tabs>
        <w:ind w:left="1087" w:hanging="360"/>
      </w:pPr>
      <w:rPr>
        <w:rFonts w:ascii="Wingdings" w:hAnsi="Wingdings" w:hint="default"/>
      </w:rPr>
    </w:lvl>
    <w:lvl w:ilvl="1" w:tplc="04160003" w:tentative="1">
      <w:start w:val="1"/>
      <w:numFmt w:val="bullet"/>
      <w:lvlText w:val="o"/>
      <w:lvlJc w:val="left"/>
      <w:pPr>
        <w:tabs>
          <w:tab w:val="num" w:pos="1770"/>
        </w:tabs>
        <w:ind w:left="1770" w:hanging="360"/>
      </w:pPr>
      <w:rPr>
        <w:rFonts w:ascii="Courier New" w:hAnsi="Courier New" w:cs="Courier New" w:hint="default"/>
      </w:rPr>
    </w:lvl>
    <w:lvl w:ilvl="2" w:tplc="04160005" w:tentative="1">
      <w:start w:val="1"/>
      <w:numFmt w:val="bullet"/>
      <w:lvlText w:val=""/>
      <w:lvlJc w:val="left"/>
      <w:pPr>
        <w:tabs>
          <w:tab w:val="num" w:pos="2490"/>
        </w:tabs>
        <w:ind w:left="2490" w:hanging="360"/>
      </w:pPr>
      <w:rPr>
        <w:rFonts w:ascii="Wingdings" w:hAnsi="Wingdings" w:hint="default"/>
      </w:rPr>
    </w:lvl>
    <w:lvl w:ilvl="3" w:tplc="04160001" w:tentative="1">
      <w:start w:val="1"/>
      <w:numFmt w:val="bullet"/>
      <w:lvlText w:val=""/>
      <w:lvlJc w:val="left"/>
      <w:pPr>
        <w:tabs>
          <w:tab w:val="num" w:pos="3210"/>
        </w:tabs>
        <w:ind w:left="3210" w:hanging="360"/>
      </w:pPr>
      <w:rPr>
        <w:rFonts w:ascii="Symbol" w:hAnsi="Symbol" w:hint="default"/>
      </w:rPr>
    </w:lvl>
    <w:lvl w:ilvl="4" w:tplc="04160003" w:tentative="1">
      <w:start w:val="1"/>
      <w:numFmt w:val="bullet"/>
      <w:lvlText w:val="o"/>
      <w:lvlJc w:val="left"/>
      <w:pPr>
        <w:tabs>
          <w:tab w:val="num" w:pos="3930"/>
        </w:tabs>
        <w:ind w:left="3930" w:hanging="360"/>
      </w:pPr>
      <w:rPr>
        <w:rFonts w:ascii="Courier New" w:hAnsi="Courier New" w:cs="Courier New" w:hint="default"/>
      </w:rPr>
    </w:lvl>
    <w:lvl w:ilvl="5" w:tplc="04160005" w:tentative="1">
      <w:start w:val="1"/>
      <w:numFmt w:val="bullet"/>
      <w:lvlText w:val=""/>
      <w:lvlJc w:val="left"/>
      <w:pPr>
        <w:tabs>
          <w:tab w:val="num" w:pos="4650"/>
        </w:tabs>
        <w:ind w:left="4650" w:hanging="360"/>
      </w:pPr>
      <w:rPr>
        <w:rFonts w:ascii="Wingdings" w:hAnsi="Wingdings" w:hint="default"/>
      </w:rPr>
    </w:lvl>
    <w:lvl w:ilvl="6" w:tplc="04160001" w:tentative="1">
      <w:start w:val="1"/>
      <w:numFmt w:val="bullet"/>
      <w:lvlText w:val=""/>
      <w:lvlJc w:val="left"/>
      <w:pPr>
        <w:tabs>
          <w:tab w:val="num" w:pos="5370"/>
        </w:tabs>
        <w:ind w:left="5370" w:hanging="360"/>
      </w:pPr>
      <w:rPr>
        <w:rFonts w:ascii="Symbol" w:hAnsi="Symbol" w:hint="default"/>
      </w:rPr>
    </w:lvl>
    <w:lvl w:ilvl="7" w:tplc="04160003" w:tentative="1">
      <w:start w:val="1"/>
      <w:numFmt w:val="bullet"/>
      <w:lvlText w:val="o"/>
      <w:lvlJc w:val="left"/>
      <w:pPr>
        <w:tabs>
          <w:tab w:val="num" w:pos="6090"/>
        </w:tabs>
        <w:ind w:left="6090" w:hanging="360"/>
      </w:pPr>
      <w:rPr>
        <w:rFonts w:ascii="Courier New" w:hAnsi="Courier New" w:cs="Courier New" w:hint="default"/>
      </w:rPr>
    </w:lvl>
    <w:lvl w:ilvl="8" w:tplc="04160005" w:tentative="1">
      <w:start w:val="1"/>
      <w:numFmt w:val="bullet"/>
      <w:lvlText w:val=""/>
      <w:lvlJc w:val="left"/>
      <w:pPr>
        <w:tabs>
          <w:tab w:val="num" w:pos="6810"/>
        </w:tabs>
        <w:ind w:left="6810" w:hanging="360"/>
      </w:pPr>
      <w:rPr>
        <w:rFonts w:ascii="Wingdings" w:hAnsi="Wingdings" w:hint="default"/>
      </w:rPr>
    </w:lvl>
  </w:abstractNum>
  <w:num w:numId="1">
    <w:abstractNumId w:val="11"/>
  </w:num>
  <w:num w:numId="2">
    <w:abstractNumId w:val="8"/>
  </w:num>
  <w:num w:numId="3">
    <w:abstractNumId w:val="20"/>
  </w:num>
  <w:num w:numId="4">
    <w:abstractNumId w:val="32"/>
  </w:num>
  <w:num w:numId="5">
    <w:abstractNumId w:val="25"/>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8"/>
  </w:num>
  <w:num w:numId="18">
    <w:abstractNumId w:val="7"/>
  </w:num>
  <w:num w:numId="19">
    <w:abstractNumId w:val="3"/>
  </w:num>
  <w:num w:numId="20">
    <w:abstractNumId w:val="31"/>
  </w:num>
  <w:num w:numId="21">
    <w:abstractNumId w:val="10"/>
  </w:num>
  <w:num w:numId="22">
    <w:abstractNumId w:val="1"/>
  </w:num>
  <w:num w:numId="23">
    <w:abstractNumId w:val="11"/>
  </w:num>
  <w:num w:numId="24">
    <w:abstractNumId w:val="27"/>
  </w:num>
  <w:num w:numId="25">
    <w:abstractNumId w:val="11"/>
  </w:num>
  <w:num w:numId="26">
    <w:abstractNumId w:val="13"/>
  </w:num>
  <w:num w:numId="27">
    <w:abstractNumId w:val="11"/>
  </w:num>
  <w:num w:numId="28">
    <w:abstractNumId w:val="11"/>
  </w:num>
  <w:num w:numId="29">
    <w:abstractNumId w:val="17"/>
  </w:num>
  <w:num w:numId="30">
    <w:abstractNumId w:val="15"/>
  </w:num>
  <w:num w:numId="31">
    <w:abstractNumId w:val="11"/>
  </w:num>
  <w:num w:numId="32">
    <w:abstractNumId w:val="24"/>
  </w:num>
  <w:num w:numId="33">
    <w:abstractNumId w:val="11"/>
  </w:num>
  <w:num w:numId="34">
    <w:abstractNumId w:val="22"/>
  </w:num>
  <w:num w:numId="35">
    <w:abstractNumId w:val="19"/>
  </w:num>
  <w:num w:numId="36">
    <w:abstractNumId w:val="2"/>
  </w:num>
  <w:num w:numId="37">
    <w:abstractNumId w:val="28"/>
  </w:num>
  <w:num w:numId="38">
    <w:abstractNumId w:val="4"/>
  </w:num>
  <w:num w:numId="39">
    <w:abstractNumId w:val="29"/>
  </w:num>
  <w:num w:numId="40">
    <w:abstractNumId w:val="5"/>
  </w:num>
  <w:num w:numId="41">
    <w:abstractNumId w:val="12"/>
  </w:num>
  <w:num w:numId="42">
    <w:abstractNumId w:val="23"/>
  </w:num>
  <w:num w:numId="43">
    <w:abstractNumId w:val="16"/>
  </w:num>
  <w:num w:numId="44">
    <w:abstractNumId w:val="14"/>
  </w:num>
  <w:num w:numId="45">
    <w:abstractNumId w:val="6"/>
  </w:num>
  <w:num w:numId="46">
    <w:abstractNumId w:val="26"/>
  </w:num>
  <w:num w:numId="47">
    <w:abstractNumId w:val="30"/>
  </w:num>
  <w:num w:numId="48">
    <w:abstractNumId w:val="9"/>
  </w:num>
  <w:num w:numId="49">
    <w:abstractNumId w:val="0"/>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7"/>
    <w:rsid w:val="0000213B"/>
    <w:rsid w:val="00005839"/>
    <w:rsid w:val="000061BE"/>
    <w:rsid w:val="00006779"/>
    <w:rsid w:val="0001172F"/>
    <w:rsid w:val="00012347"/>
    <w:rsid w:val="00012759"/>
    <w:rsid w:val="00012A5E"/>
    <w:rsid w:val="00014027"/>
    <w:rsid w:val="00016462"/>
    <w:rsid w:val="00020371"/>
    <w:rsid w:val="000204DC"/>
    <w:rsid w:val="000208F6"/>
    <w:rsid w:val="00022525"/>
    <w:rsid w:val="00025AD6"/>
    <w:rsid w:val="00026860"/>
    <w:rsid w:val="00027B25"/>
    <w:rsid w:val="000330E5"/>
    <w:rsid w:val="00037194"/>
    <w:rsid w:val="00041609"/>
    <w:rsid w:val="0004265F"/>
    <w:rsid w:val="0004329F"/>
    <w:rsid w:val="0004516A"/>
    <w:rsid w:val="00046614"/>
    <w:rsid w:val="00047523"/>
    <w:rsid w:val="0005146B"/>
    <w:rsid w:val="000530E8"/>
    <w:rsid w:val="00053464"/>
    <w:rsid w:val="00054388"/>
    <w:rsid w:val="0005477E"/>
    <w:rsid w:val="00056652"/>
    <w:rsid w:val="000605FA"/>
    <w:rsid w:val="00063CFF"/>
    <w:rsid w:val="00063ED3"/>
    <w:rsid w:val="00064904"/>
    <w:rsid w:val="0006571E"/>
    <w:rsid w:val="0007016E"/>
    <w:rsid w:val="00073A07"/>
    <w:rsid w:val="0007707F"/>
    <w:rsid w:val="000806D1"/>
    <w:rsid w:val="0008426C"/>
    <w:rsid w:val="000855A5"/>
    <w:rsid w:val="0008570F"/>
    <w:rsid w:val="000906DB"/>
    <w:rsid w:val="00090B6C"/>
    <w:rsid w:val="00091807"/>
    <w:rsid w:val="0009632B"/>
    <w:rsid w:val="000976C8"/>
    <w:rsid w:val="000A20BA"/>
    <w:rsid w:val="000A4CF1"/>
    <w:rsid w:val="000A6859"/>
    <w:rsid w:val="000B0B30"/>
    <w:rsid w:val="000B126F"/>
    <w:rsid w:val="000B15CB"/>
    <w:rsid w:val="000B212C"/>
    <w:rsid w:val="000B237D"/>
    <w:rsid w:val="000B5712"/>
    <w:rsid w:val="000C082B"/>
    <w:rsid w:val="000C1B35"/>
    <w:rsid w:val="000C2A52"/>
    <w:rsid w:val="000C4264"/>
    <w:rsid w:val="000D00A5"/>
    <w:rsid w:val="000D07E6"/>
    <w:rsid w:val="000D0E5D"/>
    <w:rsid w:val="000D16AF"/>
    <w:rsid w:val="000D1E61"/>
    <w:rsid w:val="000D2EF6"/>
    <w:rsid w:val="000D50E1"/>
    <w:rsid w:val="000D6502"/>
    <w:rsid w:val="000D7D98"/>
    <w:rsid w:val="000E0008"/>
    <w:rsid w:val="000E3C78"/>
    <w:rsid w:val="000E4110"/>
    <w:rsid w:val="000E4B45"/>
    <w:rsid w:val="000E5411"/>
    <w:rsid w:val="000E79C7"/>
    <w:rsid w:val="000F1A6F"/>
    <w:rsid w:val="000F387F"/>
    <w:rsid w:val="000F4629"/>
    <w:rsid w:val="000F652C"/>
    <w:rsid w:val="00100D71"/>
    <w:rsid w:val="001021BB"/>
    <w:rsid w:val="0010317B"/>
    <w:rsid w:val="00104A67"/>
    <w:rsid w:val="00106495"/>
    <w:rsid w:val="00111C0A"/>
    <w:rsid w:val="00113972"/>
    <w:rsid w:val="00115318"/>
    <w:rsid w:val="0011653A"/>
    <w:rsid w:val="001221FE"/>
    <w:rsid w:val="00123811"/>
    <w:rsid w:val="00123BEC"/>
    <w:rsid w:val="001269F5"/>
    <w:rsid w:val="001311AF"/>
    <w:rsid w:val="00134CB0"/>
    <w:rsid w:val="00135B6E"/>
    <w:rsid w:val="00135D33"/>
    <w:rsid w:val="00136326"/>
    <w:rsid w:val="00136B9E"/>
    <w:rsid w:val="00137579"/>
    <w:rsid w:val="0014132F"/>
    <w:rsid w:val="00145B43"/>
    <w:rsid w:val="00145B94"/>
    <w:rsid w:val="0014725F"/>
    <w:rsid w:val="00147EDC"/>
    <w:rsid w:val="00150136"/>
    <w:rsid w:val="00152135"/>
    <w:rsid w:val="00156ED9"/>
    <w:rsid w:val="00160340"/>
    <w:rsid w:val="0016229D"/>
    <w:rsid w:val="0016778A"/>
    <w:rsid w:val="0016788E"/>
    <w:rsid w:val="001705DA"/>
    <w:rsid w:val="00171A68"/>
    <w:rsid w:val="00177D92"/>
    <w:rsid w:val="00182FA8"/>
    <w:rsid w:val="001836B7"/>
    <w:rsid w:val="00183801"/>
    <w:rsid w:val="00184A70"/>
    <w:rsid w:val="001863FC"/>
    <w:rsid w:val="00187567"/>
    <w:rsid w:val="001942D8"/>
    <w:rsid w:val="001A3846"/>
    <w:rsid w:val="001A3AF4"/>
    <w:rsid w:val="001A4E08"/>
    <w:rsid w:val="001A5CA7"/>
    <w:rsid w:val="001A645A"/>
    <w:rsid w:val="001A6CF4"/>
    <w:rsid w:val="001B0342"/>
    <w:rsid w:val="001B061B"/>
    <w:rsid w:val="001B2304"/>
    <w:rsid w:val="001B2444"/>
    <w:rsid w:val="001B2458"/>
    <w:rsid w:val="001B28F9"/>
    <w:rsid w:val="001B71F4"/>
    <w:rsid w:val="001C162E"/>
    <w:rsid w:val="001C4487"/>
    <w:rsid w:val="001C4FBA"/>
    <w:rsid w:val="001C53EF"/>
    <w:rsid w:val="001C79F4"/>
    <w:rsid w:val="001D13DA"/>
    <w:rsid w:val="001D1A5B"/>
    <w:rsid w:val="001D28DC"/>
    <w:rsid w:val="001D3FEB"/>
    <w:rsid w:val="001D4042"/>
    <w:rsid w:val="001D7E33"/>
    <w:rsid w:val="001E0C84"/>
    <w:rsid w:val="001E0E25"/>
    <w:rsid w:val="001F3552"/>
    <w:rsid w:val="001F3D2F"/>
    <w:rsid w:val="001F3D4E"/>
    <w:rsid w:val="001F3DCA"/>
    <w:rsid w:val="001F4CB9"/>
    <w:rsid w:val="001F6467"/>
    <w:rsid w:val="001F6FE5"/>
    <w:rsid w:val="001F7397"/>
    <w:rsid w:val="00202860"/>
    <w:rsid w:val="00202AC0"/>
    <w:rsid w:val="00203D05"/>
    <w:rsid w:val="002050B3"/>
    <w:rsid w:val="00206E20"/>
    <w:rsid w:val="00207DF3"/>
    <w:rsid w:val="0021548F"/>
    <w:rsid w:val="0021650C"/>
    <w:rsid w:val="00217633"/>
    <w:rsid w:val="00221A96"/>
    <w:rsid w:val="00222EF2"/>
    <w:rsid w:val="00226A6D"/>
    <w:rsid w:val="00230160"/>
    <w:rsid w:val="00231CAF"/>
    <w:rsid w:val="00233B6F"/>
    <w:rsid w:val="0023521B"/>
    <w:rsid w:val="002354ED"/>
    <w:rsid w:val="00236359"/>
    <w:rsid w:val="0023724C"/>
    <w:rsid w:val="00243CB7"/>
    <w:rsid w:val="00247F55"/>
    <w:rsid w:val="00252469"/>
    <w:rsid w:val="0025380A"/>
    <w:rsid w:val="00255B6E"/>
    <w:rsid w:val="002574D2"/>
    <w:rsid w:val="002600BA"/>
    <w:rsid w:val="002637E1"/>
    <w:rsid w:val="00265CE4"/>
    <w:rsid w:val="0026694C"/>
    <w:rsid w:val="0026762B"/>
    <w:rsid w:val="0027212E"/>
    <w:rsid w:val="002739E7"/>
    <w:rsid w:val="002741D3"/>
    <w:rsid w:val="0027460B"/>
    <w:rsid w:val="00274722"/>
    <w:rsid w:val="00275674"/>
    <w:rsid w:val="00275676"/>
    <w:rsid w:val="002760AA"/>
    <w:rsid w:val="00276E57"/>
    <w:rsid w:val="00282515"/>
    <w:rsid w:val="002847C6"/>
    <w:rsid w:val="00291148"/>
    <w:rsid w:val="0029315D"/>
    <w:rsid w:val="00293500"/>
    <w:rsid w:val="00293F4E"/>
    <w:rsid w:val="0029538D"/>
    <w:rsid w:val="002953FB"/>
    <w:rsid w:val="002968B1"/>
    <w:rsid w:val="00297F88"/>
    <w:rsid w:val="002A2F1B"/>
    <w:rsid w:val="002A3584"/>
    <w:rsid w:val="002A44B5"/>
    <w:rsid w:val="002A5670"/>
    <w:rsid w:val="002A7349"/>
    <w:rsid w:val="002A7D35"/>
    <w:rsid w:val="002B3493"/>
    <w:rsid w:val="002B4F36"/>
    <w:rsid w:val="002B5193"/>
    <w:rsid w:val="002B648D"/>
    <w:rsid w:val="002B73B8"/>
    <w:rsid w:val="002C0FC2"/>
    <w:rsid w:val="002C658D"/>
    <w:rsid w:val="002C6E3B"/>
    <w:rsid w:val="002C74F5"/>
    <w:rsid w:val="002C7703"/>
    <w:rsid w:val="002D04F6"/>
    <w:rsid w:val="002D4483"/>
    <w:rsid w:val="002E082D"/>
    <w:rsid w:val="002E1DBB"/>
    <w:rsid w:val="002E4B4D"/>
    <w:rsid w:val="002E4BBB"/>
    <w:rsid w:val="002E6A7E"/>
    <w:rsid w:val="002F03BC"/>
    <w:rsid w:val="002F21C9"/>
    <w:rsid w:val="002F4744"/>
    <w:rsid w:val="002F4B67"/>
    <w:rsid w:val="002F5AE2"/>
    <w:rsid w:val="002F7DEE"/>
    <w:rsid w:val="00302399"/>
    <w:rsid w:val="00302934"/>
    <w:rsid w:val="003035AE"/>
    <w:rsid w:val="00304A96"/>
    <w:rsid w:val="00306308"/>
    <w:rsid w:val="00313E80"/>
    <w:rsid w:val="0031570C"/>
    <w:rsid w:val="00322063"/>
    <w:rsid w:val="0032481C"/>
    <w:rsid w:val="00324875"/>
    <w:rsid w:val="00326AD9"/>
    <w:rsid w:val="0033064C"/>
    <w:rsid w:val="0033105D"/>
    <w:rsid w:val="00331CDF"/>
    <w:rsid w:val="00332542"/>
    <w:rsid w:val="003332BF"/>
    <w:rsid w:val="00333427"/>
    <w:rsid w:val="00333F1B"/>
    <w:rsid w:val="0033563F"/>
    <w:rsid w:val="003377A4"/>
    <w:rsid w:val="003377DE"/>
    <w:rsid w:val="0034258D"/>
    <w:rsid w:val="003434D2"/>
    <w:rsid w:val="00343B2B"/>
    <w:rsid w:val="0034436C"/>
    <w:rsid w:val="00344715"/>
    <w:rsid w:val="00344A3D"/>
    <w:rsid w:val="00347080"/>
    <w:rsid w:val="00347A0E"/>
    <w:rsid w:val="00353C2D"/>
    <w:rsid w:val="00353F43"/>
    <w:rsid w:val="00354AB0"/>
    <w:rsid w:val="00360D9E"/>
    <w:rsid w:val="003614F0"/>
    <w:rsid w:val="00366021"/>
    <w:rsid w:val="00367FC1"/>
    <w:rsid w:val="003710D0"/>
    <w:rsid w:val="0037148E"/>
    <w:rsid w:val="00373480"/>
    <w:rsid w:val="00376762"/>
    <w:rsid w:val="00376964"/>
    <w:rsid w:val="003778DD"/>
    <w:rsid w:val="00377EFC"/>
    <w:rsid w:val="00380F9B"/>
    <w:rsid w:val="003819BF"/>
    <w:rsid w:val="00383207"/>
    <w:rsid w:val="00384155"/>
    <w:rsid w:val="00384625"/>
    <w:rsid w:val="003864E5"/>
    <w:rsid w:val="003941E9"/>
    <w:rsid w:val="003944BF"/>
    <w:rsid w:val="003955D8"/>
    <w:rsid w:val="003969B6"/>
    <w:rsid w:val="003A053D"/>
    <w:rsid w:val="003A0DA3"/>
    <w:rsid w:val="003A3193"/>
    <w:rsid w:val="003A31A1"/>
    <w:rsid w:val="003A513D"/>
    <w:rsid w:val="003A72BA"/>
    <w:rsid w:val="003B0B6E"/>
    <w:rsid w:val="003B1AA1"/>
    <w:rsid w:val="003B2E9F"/>
    <w:rsid w:val="003C1908"/>
    <w:rsid w:val="003C21A0"/>
    <w:rsid w:val="003C24E4"/>
    <w:rsid w:val="003C2C8F"/>
    <w:rsid w:val="003C2F60"/>
    <w:rsid w:val="003C3F80"/>
    <w:rsid w:val="003C650F"/>
    <w:rsid w:val="003C6811"/>
    <w:rsid w:val="003C72AF"/>
    <w:rsid w:val="003D0AE2"/>
    <w:rsid w:val="003D14F1"/>
    <w:rsid w:val="003D34A8"/>
    <w:rsid w:val="003D386B"/>
    <w:rsid w:val="003D3DE6"/>
    <w:rsid w:val="003D417E"/>
    <w:rsid w:val="003D6437"/>
    <w:rsid w:val="003E004E"/>
    <w:rsid w:val="003E3A69"/>
    <w:rsid w:val="003E3BDE"/>
    <w:rsid w:val="003E4F1A"/>
    <w:rsid w:val="003E7086"/>
    <w:rsid w:val="003E76D7"/>
    <w:rsid w:val="003F061A"/>
    <w:rsid w:val="003F137B"/>
    <w:rsid w:val="003F32FC"/>
    <w:rsid w:val="003F4FFB"/>
    <w:rsid w:val="003F57EF"/>
    <w:rsid w:val="0040223D"/>
    <w:rsid w:val="00402FD1"/>
    <w:rsid w:val="004031B9"/>
    <w:rsid w:val="004040A0"/>
    <w:rsid w:val="0040488B"/>
    <w:rsid w:val="004049B7"/>
    <w:rsid w:val="004052B5"/>
    <w:rsid w:val="0040617C"/>
    <w:rsid w:val="00411C1E"/>
    <w:rsid w:val="00413554"/>
    <w:rsid w:val="00413B3A"/>
    <w:rsid w:val="004149B3"/>
    <w:rsid w:val="00415BB1"/>
    <w:rsid w:val="004166E7"/>
    <w:rsid w:val="00416C70"/>
    <w:rsid w:val="004171F0"/>
    <w:rsid w:val="00420F27"/>
    <w:rsid w:val="00420F69"/>
    <w:rsid w:val="00421C49"/>
    <w:rsid w:val="00421F94"/>
    <w:rsid w:val="00425A74"/>
    <w:rsid w:val="0042665F"/>
    <w:rsid w:val="00427333"/>
    <w:rsid w:val="00430427"/>
    <w:rsid w:val="00431180"/>
    <w:rsid w:val="00431A5F"/>
    <w:rsid w:val="00431D0F"/>
    <w:rsid w:val="00432C9A"/>
    <w:rsid w:val="00433135"/>
    <w:rsid w:val="004356ED"/>
    <w:rsid w:val="004362E5"/>
    <w:rsid w:val="0043687A"/>
    <w:rsid w:val="00437E6B"/>
    <w:rsid w:val="00441646"/>
    <w:rsid w:val="00441C79"/>
    <w:rsid w:val="00442BDE"/>
    <w:rsid w:val="004433E5"/>
    <w:rsid w:val="004441E6"/>
    <w:rsid w:val="004451B8"/>
    <w:rsid w:val="00445374"/>
    <w:rsid w:val="004454AD"/>
    <w:rsid w:val="00445EBC"/>
    <w:rsid w:val="00446318"/>
    <w:rsid w:val="00446466"/>
    <w:rsid w:val="004471C0"/>
    <w:rsid w:val="004504F0"/>
    <w:rsid w:val="00452BEA"/>
    <w:rsid w:val="00453979"/>
    <w:rsid w:val="0045522A"/>
    <w:rsid w:val="00455B4B"/>
    <w:rsid w:val="00456D45"/>
    <w:rsid w:val="00457261"/>
    <w:rsid w:val="00461BE6"/>
    <w:rsid w:val="00464244"/>
    <w:rsid w:val="0046666A"/>
    <w:rsid w:val="00472206"/>
    <w:rsid w:val="0047470A"/>
    <w:rsid w:val="0047558E"/>
    <w:rsid w:val="00477511"/>
    <w:rsid w:val="004811AC"/>
    <w:rsid w:val="004819C0"/>
    <w:rsid w:val="00483BCD"/>
    <w:rsid w:val="00483FE0"/>
    <w:rsid w:val="00484EC8"/>
    <w:rsid w:val="00491B78"/>
    <w:rsid w:val="00492FA8"/>
    <w:rsid w:val="00493859"/>
    <w:rsid w:val="00494427"/>
    <w:rsid w:val="00494DC3"/>
    <w:rsid w:val="00496FF4"/>
    <w:rsid w:val="004A12BC"/>
    <w:rsid w:val="004A30F9"/>
    <w:rsid w:val="004A3A6E"/>
    <w:rsid w:val="004A5AA8"/>
    <w:rsid w:val="004A5B9F"/>
    <w:rsid w:val="004A69CB"/>
    <w:rsid w:val="004B28FB"/>
    <w:rsid w:val="004B3D95"/>
    <w:rsid w:val="004B4EDD"/>
    <w:rsid w:val="004B619B"/>
    <w:rsid w:val="004B6A0B"/>
    <w:rsid w:val="004C0394"/>
    <w:rsid w:val="004C04D2"/>
    <w:rsid w:val="004C0A84"/>
    <w:rsid w:val="004C110C"/>
    <w:rsid w:val="004C2469"/>
    <w:rsid w:val="004C28D1"/>
    <w:rsid w:val="004C3902"/>
    <w:rsid w:val="004C3FAD"/>
    <w:rsid w:val="004C5456"/>
    <w:rsid w:val="004C57CD"/>
    <w:rsid w:val="004C683B"/>
    <w:rsid w:val="004C788A"/>
    <w:rsid w:val="004C7CB4"/>
    <w:rsid w:val="004D5840"/>
    <w:rsid w:val="004D603B"/>
    <w:rsid w:val="004D67E7"/>
    <w:rsid w:val="004D6AA6"/>
    <w:rsid w:val="004E2374"/>
    <w:rsid w:val="004E6BB8"/>
    <w:rsid w:val="004E7774"/>
    <w:rsid w:val="004E77B7"/>
    <w:rsid w:val="004F2A98"/>
    <w:rsid w:val="004F6085"/>
    <w:rsid w:val="005018C6"/>
    <w:rsid w:val="0050329B"/>
    <w:rsid w:val="00504C78"/>
    <w:rsid w:val="00504E4D"/>
    <w:rsid w:val="005060DB"/>
    <w:rsid w:val="0050750C"/>
    <w:rsid w:val="00513C6F"/>
    <w:rsid w:val="00514ED4"/>
    <w:rsid w:val="00515704"/>
    <w:rsid w:val="00515D83"/>
    <w:rsid w:val="00516FAB"/>
    <w:rsid w:val="00520355"/>
    <w:rsid w:val="00520C31"/>
    <w:rsid w:val="0052105F"/>
    <w:rsid w:val="00523A43"/>
    <w:rsid w:val="005263B8"/>
    <w:rsid w:val="005308EE"/>
    <w:rsid w:val="00530A93"/>
    <w:rsid w:val="00530EE1"/>
    <w:rsid w:val="0053196D"/>
    <w:rsid w:val="00533667"/>
    <w:rsid w:val="00534995"/>
    <w:rsid w:val="00535C01"/>
    <w:rsid w:val="005372E3"/>
    <w:rsid w:val="005408BC"/>
    <w:rsid w:val="00541F5C"/>
    <w:rsid w:val="005444ED"/>
    <w:rsid w:val="005447CE"/>
    <w:rsid w:val="00544B52"/>
    <w:rsid w:val="00544BE3"/>
    <w:rsid w:val="0054572A"/>
    <w:rsid w:val="00545DEF"/>
    <w:rsid w:val="005460AF"/>
    <w:rsid w:val="00546972"/>
    <w:rsid w:val="00546F1C"/>
    <w:rsid w:val="00547942"/>
    <w:rsid w:val="00551170"/>
    <w:rsid w:val="0055631B"/>
    <w:rsid w:val="0056152F"/>
    <w:rsid w:val="0056191E"/>
    <w:rsid w:val="00562D42"/>
    <w:rsid w:val="005634CA"/>
    <w:rsid w:val="0056673F"/>
    <w:rsid w:val="0057198F"/>
    <w:rsid w:val="005726DA"/>
    <w:rsid w:val="00574A12"/>
    <w:rsid w:val="005752AF"/>
    <w:rsid w:val="005769B4"/>
    <w:rsid w:val="00577F32"/>
    <w:rsid w:val="00582131"/>
    <w:rsid w:val="00582C00"/>
    <w:rsid w:val="005841CB"/>
    <w:rsid w:val="00584F0B"/>
    <w:rsid w:val="005852C1"/>
    <w:rsid w:val="005857C4"/>
    <w:rsid w:val="00586B20"/>
    <w:rsid w:val="00587B2D"/>
    <w:rsid w:val="00587F45"/>
    <w:rsid w:val="005929D4"/>
    <w:rsid w:val="0059368B"/>
    <w:rsid w:val="00594D6B"/>
    <w:rsid w:val="00595822"/>
    <w:rsid w:val="00595EB6"/>
    <w:rsid w:val="005A09D4"/>
    <w:rsid w:val="005A1D85"/>
    <w:rsid w:val="005A3E6E"/>
    <w:rsid w:val="005A477A"/>
    <w:rsid w:val="005A66D2"/>
    <w:rsid w:val="005A78C5"/>
    <w:rsid w:val="005B3079"/>
    <w:rsid w:val="005B4F26"/>
    <w:rsid w:val="005B7075"/>
    <w:rsid w:val="005C1DD5"/>
    <w:rsid w:val="005C1F8A"/>
    <w:rsid w:val="005C24F2"/>
    <w:rsid w:val="005C2A60"/>
    <w:rsid w:val="005C32DB"/>
    <w:rsid w:val="005C37D1"/>
    <w:rsid w:val="005C3A98"/>
    <w:rsid w:val="005C43FE"/>
    <w:rsid w:val="005C59D1"/>
    <w:rsid w:val="005C7D7B"/>
    <w:rsid w:val="005D3E58"/>
    <w:rsid w:val="005D5391"/>
    <w:rsid w:val="005D7C2E"/>
    <w:rsid w:val="005E03D1"/>
    <w:rsid w:val="005E27E6"/>
    <w:rsid w:val="005E333B"/>
    <w:rsid w:val="005E6FC8"/>
    <w:rsid w:val="005F0736"/>
    <w:rsid w:val="005F0A9F"/>
    <w:rsid w:val="005F3E6A"/>
    <w:rsid w:val="006004BE"/>
    <w:rsid w:val="006026F6"/>
    <w:rsid w:val="00605C5C"/>
    <w:rsid w:val="00606DEF"/>
    <w:rsid w:val="006071B9"/>
    <w:rsid w:val="00610D14"/>
    <w:rsid w:val="0062189E"/>
    <w:rsid w:val="00623453"/>
    <w:rsid w:val="00624C29"/>
    <w:rsid w:val="00626CA9"/>
    <w:rsid w:val="006315C3"/>
    <w:rsid w:val="0063447F"/>
    <w:rsid w:val="0063700D"/>
    <w:rsid w:val="0063763C"/>
    <w:rsid w:val="006379D9"/>
    <w:rsid w:val="00637BBD"/>
    <w:rsid w:val="006402B9"/>
    <w:rsid w:val="00640838"/>
    <w:rsid w:val="00642D1A"/>
    <w:rsid w:val="00644E8A"/>
    <w:rsid w:val="00645834"/>
    <w:rsid w:val="00646244"/>
    <w:rsid w:val="00646A0D"/>
    <w:rsid w:val="00647F14"/>
    <w:rsid w:val="00650DE5"/>
    <w:rsid w:val="0065546D"/>
    <w:rsid w:val="00656391"/>
    <w:rsid w:val="006578C7"/>
    <w:rsid w:val="006656DE"/>
    <w:rsid w:val="00667A19"/>
    <w:rsid w:val="00675453"/>
    <w:rsid w:val="00675BCA"/>
    <w:rsid w:val="00676232"/>
    <w:rsid w:val="0067636A"/>
    <w:rsid w:val="00676CC4"/>
    <w:rsid w:val="006778DA"/>
    <w:rsid w:val="006811DE"/>
    <w:rsid w:val="00683C90"/>
    <w:rsid w:val="00685534"/>
    <w:rsid w:val="00685646"/>
    <w:rsid w:val="0068698B"/>
    <w:rsid w:val="00687808"/>
    <w:rsid w:val="00690440"/>
    <w:rsid w:val="00697354"/>
    <w:rsid w:val="00697654"/>
    <w:rsid w:val="006A0528"/>
    <w:rsid w:val="006A0D87"/>
    <w:rsid w:val="006A345E"/>
    <w:rsid w:val="006A4019"/>
    <w:rsid w:val="006A463C"/>
    <w:rsid w:val="006B212A"/>
    <w:rsid w:val="006B4324"/>
    <w:rsid w:val="006B4FE6"/>
    <w:rsid w:val="006B52B7"/>
    <w:rsid w:val="006B6EF4"/>
    <w:rsid w:val="006C20EE"/>
    <w:rsid w:val="006C7963"/>
    <w:rsid w:val="006D023A"/>
    <w:rsid w:val="006D096B"/>
    <w:rsid w:val="006D107D"/>
    <w:rsid w:val="006D1534"/>
    <w:rsid w:val="006D1E4E"/>
    <w:rsid w:val="006D1FF0"/>
    <w:rsid w:val="006E16D4"/>
    <w:rsid w:val="006E3408"/>
    <w:rsid w:val="006E4BAF"/>
    <w:rsid w:val="006E6FD7"/>
    <w:rsid w:val="006F0494"/>
    <w:rsid w:val="006F1753"/>
    <w:rsid w:val="006F197A"/>
    <w:rsid w:val="006F7990"/>
    <w:rsid w:val="006F7BCC"/>
    <w:rsid w:val="00700632"/>
    <w:rsid w:val="007018A0"/>
    <w:rsid w:val="00701B88"/>
    <w:rsid w:val="00703670"/>
    <w:rsid w:val="00711929"/>
    <w:rsid w:val="00712A4F"/>
    <w:rsid w:val="007137C3"/>
    <w:rsid w:val="00713C55"/>
    <w:rsid w:val="00713FD1"/>
    <w:rsid w:val="007146EA"/>
    <w:rsid w:val="0071576B"/>
    <w:rsid w:val="00720C50"/>
    <w:rsid w:val="007214E8"/>
    <w:rsid w:val="007216D5"/>
    <w:rsid w:val="00722393"/>
    <w:rsid w:val="00722B27"/>
    <w:rsid w:val="00722DAE"/>
    <w:rsid w:val="0072328A"/>
    <w:rsid w:val="007274E0"/>
    <w:rsid w:val="00734348"/>
    <w:rsid w:val="007365DE"/>
    <w:rsid w:val="00736E03"/>
    <w:rsid w:val="00742A4A"/>
    <w:rsid w:val="00743286"/>
    <w:rsid w:val="0074468D"/>
    <w:rsid w:val="00745AEF"/>
    <w:rsid w:val="0074603E"/>
    <w:rsid w:val="00750235"/>
    <w:rsid w:val="00751637"/>
    <w:rsid w:val="007535C5"/>
    <w:rsid w:val="00754E4C"/>
    <w:rsid w:val="00755529"/>
    <w:rsid w:val="00755D30"/>
    <w:rsid w:val="00755DB7"/>
    <w:rsid w:val="00756588"/>
    <w:rsid w:val="00756F31"/>
    <w:rsid w:val="0076138F"/>
    <w:rsid w:val="00761E9B"/>
    <w:rsid w:val="00767158"/>
    <w:rsid w:val="00767541"/>
    <w:rsid w:val="00767A76"/>
    <w:rsid w:val="0077006E"/>
    <w:rsid w:val="0077042B"/>
    <w:rsid w:val="00772180"/>
    <w:rsid w:val="00773B0B"/>
    <w:rsid w:val="00775F45"/>
    <w:rsid w:val="0077615B"/>
    <w:rsid w:val="007808BE"/>
    <w:rsid w:val="0078191F"/>
    <w:rsid w:val="007862AE"/>
    <w:rsid w:val="0078645F"/>
    <w:rsid w:val="00787B3D"/>
    <w:rsid w:val="007958D5"/>
    <w:rsid w:val="007A30D6"/>
    <w:rsid w:val="007A38DD"/>
    <w:rsid w:val="007A4AFE"/>
    <w:rsid w:val="007A5438"/>
    <w:rsid w:val="007A690D"/>
    <w:rsid w:val="007A6F28"/>
    <w:rsid w:val="007B1F57"/>
    <w:rsid w:val="007B3CF9"/>
    <w:rsid w:val="007B56D2"/>
    <w:rsid w:val="007B7904"/>
    <w:rsid w:val="007B7B0A"/>
    <w:rsid w:val="007C07A8"/>
    <w:rsid w:val="007C1A43"/>
    <w:rsid w:val="007C436B"/>
    <w:rsid w:val="007C4B51"/>
    <w:rsid w:val="007C68E7"/>
    <w:rsid w:val="007D2132"/>
    <w:rsid w:val="007D5D8F"/>
    <w:rsid w:val="007D69FB"/>
    <w:rsid w:val="007D771F"/>
    <w:rsid w:val="007D79B7"/>
    <w:rsid w:val="007E04FD"/>
    <w:rsid w:val="007E1A66"/>
    <w:rsid w:val="007E3894"/>
    <w:rsid w:val="007E5051"/>
    <w:rsid w:val="007E5386"/>
    <w:rsid w:val="007E573F"/>
    <w:rsid w:val="007E5F23"/>
    <w:rsid w:val="007E640A"/>
    <w:rsid w:val="007E7DD7"/>
    <w:rsid w:val="007F0530"/>
    <w:rsid w:val="007F1AF2"/>
    <w:rsid w:val="007F36D4"/>
    <w:rsid w:val="007F3A87"/>
    <w:rsid w:val="007F64B9"/>
    <w:rsid w:val="007F76D3"/>
    <w:rsid w:val="007F7E33"/>
    <w:rsid w:val="007F7F22"/>
    <w:rsid w:val="0080254F"/>
    <w:rsid w:val="00803FAE"/>
    <w:rsid w:val="00814244"/>
    <w:rsid w:val="00814799"/>
    <w:rsid w:val="00815C2F"/>
    <w:rsid w:val="00815CD9"/>
    <w:rsid w:val="00815DF4"/>
    <w:rsid w:val="0082325E"/>
    <w:rsid w:val="008236A0"/>
    <w:rsid w:val="00824673"/>
    <w:rsid w:val="00830188"/>
    <w:rsid w:val="00831BBA"/>
    <w:rsid w:val="00834019"/>
    <w:rsid w:val="00835307"/>
    <w:rsid w:val="00836D9F"/>
    <w:rsid w:val="008376D0"/>
    <w:rsid w:val="00837A91"/>
    <w:rsid w:val="00840259"/>
    <w:rsid w:val="00842E8B"/>
    <w:rsid w:val="00843B6E"/>
    <w:rsid w:val="00845CF5"/>
    <w:rsid w:val="00846B7D"/>
    <w:rsid w:val="00847C3B"/>
    <w:rsid w:val="008531B1"/>
    <w:rsid w:val="00854974"/>
    <w:rsid w:val="00855286"/>
    <w:rsid w:val="0086058E"/>
    <w:rsid w:val="00860879"/>
    <w:rsid w:val="008608D5"/>
    <w:rsid w:val="0086159C"/>
    <w:rsid w:val="00863A8A"/>
    <w:rsid w:val="00864448"/>
    <w:rsid w:val="00864613"/>
    <w:rsid w:val="008667E6"/>
    <w:rsid w:val="00870675"/>
    <w:rsid w:val="00870A24"/>
    <w:rsid w:val="00872654"/>
    <w:rsid w:val="008761E3"/>
    <w:rsid w:val="008761FF"/>
    <w:rsid w:val="008771D1"/>
    <w:rsid w:val="008801CC"/>
    <w:rsid w:val="008837A2"/>
    <w:rsid w:val="00884A79"/>
    <w:rsid w:val="008852FC"/>
    <w:rsid w:val="00885DD9"/>
    <w:rsid w:val="0088638F"/>
    <w:rsid w:val="00891217"/>
    <w:rsid w:val="00891D53"/>
    <w:rsid w:val="008933B1"/>
    <w:rsid w:val="00895FF5"/>
    <w:rsid w:val="00896373"/>
    <w:rsid w:val="008A3841"/>
    <w:rsid w:val="008A4DD9"/>
    <w:rsid w:val="008A4FB5"/>
    <w:rsid w:val="008A5362"/>
    <w:rsid w:val="008A715C"/>
    <w:rsid w:val="008A7733"/>
    <w:rsid w:val="008B1C0C"/>
    <w:rsid w:val="008B37CD"/>
    <w:rsid w:val="008B589B"/>
    <w:rsid w:val="008B6C9D"/>
    <w:rsid w:val="008C1634"/>
    <w:rsid w:val="008C4BA5"/>
    <w:rsid w:val="008C5F16"/>
    <w:rsid w:val="008D16B4"/>
    <w:rsid w:val="008D1C5A"/>
    <w:rsid w:val="008D1EC5"/>
    <w:rsid w:val="008D5535"/>
    <w:rsid w:val="008D7EB1"/>
    <w:rsid w:val="008E0307"/>
    <w:rsid w:val="008E134C"/>
    <w:rsid w:val="008E3F54"/>
    <w:rsid w:val="008E4B9F"/>
    <w:rsid w:val="008E686D"/>
    <w:rsid w:val="008E6C7C"/>
    <w:rsid w:val="008F0474"/>
    <w:rsid w:val="008F26CE"/>
    <w:rsid w:val="008F3D19"/>
    <w:rsid w:val="008F4998"/>
    <w:rsid w:val="008F64DD"/>
    <w:rsid w:val="00902498"/>
    <w:rsid w:val="00902710"/>
    <w:rsid w:val="009033D2"/>
    <w:rsid w:val="0090499A"/>
    <w:rsid w:val="00913192"/>
    <w:rsid w:val="00915564"/>
    <w:rsid w:val="00916F1F"/>
    <w:rsid w:val="0092007F"/>
    <w:rsid w:val="009208EB"/>
    <w:rsid w:val="00925072"/>
    <w:rsid w:val="00925CFE"/>
    <w:rsid w:val="00926F9E"/>
    <w:rsid w:val="009273CB"/>
    <w:rsid w:val="00927E65"/>
    <w:rsid w:val="00933E99"/>
    <w:rsid w:val="00934C78"/>
    <w:rsid w:val="00935F1A"/>
    <w:rsid w:val="00937B76"/>
    <w:rsid w:val="0094135A"/>
    <w:rsid w:val="00943D17"/>
    <w:rsid w:val="00950A78"/>
    <w:rsid w:val="00951C8F"/>
    <w:rsid w:val="00955AA9"/>
    <w:rsid w:val="00957D9E"/>
    <w:rsid w:val="0096305D"/>
    <w:rsid w:val="009655B8"/>
    <w:rsid w:val="00965FFA"/>
    <w:rsid w:val="00966405"/>
    <w:rsid w:val="00966BB3"/>
    <w:rsid w:val="00966DB6"/>
    <w:rsid w:val="009672BC"/>
    <w:rsid w:val="00967611"/>
    <w:rsid w:val="00967653"/>
    <w:rsid w:val="009715F6"/>
    <w:rsid w:val="0097368C"/>
    <w:rsid w:val="00973AC7"/>
    <w:rsid w:val="00974575"/>
    <w:rsid w:val="00974B97"/>
    <w:rsid w:val="0097669D"/>
    <w:rsid w:val="00976E42"/>
    <w:rsid w:val="00977277"/>
    <w:rsid w:val="0098058E"/>
    <w:rsid w:val="00980F0E"/>
    <w:rsid w:val="009825DF"/>
    <w:rsid w:val="0098274F"/>
    <w:rsid w:val="00982CDB"/>
    <w:rsid w:val="00985FC6"/>
    <w:rsid w:val="00987A54"/>
    <w:rsid w:val="0099358C"/>
    <w:rsid w:val="009940A7"/>
    <w:rsid w:val="00996376"/>
    <w:rsid w:val="009965EC"/>
    <w:rsid w:val="0099756B"/>
    <w:rsid w:val="009A0C76"/>
    <w:rsid w:val="009A4431"/>
    <w:rsid w:val="009A4751"/>
    <w:rsid w:val="009A6094"/>
    <w:rsid w:val="009A742C"/>
    <w:rsid w:val="009B2CCC"/>
    <w:rsid w:val="009B3479"/>
    <w:rsid w:val="009B4497"/>
    <w:rsid w:val="009B5806"/>
    <w:rsid w:val="009C0020"/>
    <w:rsid w:val="009C116C"/>
    <w:rsid w:val="009C1FE3"/>
    <w:rsid w:val="009C2034"/>
    <w:rsid w:val="009C3163"/>
    <w:rsid w:val="009C4AB0"/>
    <w:rsid w:val="009C5A0A"/>
    <w:rsid w:val="009C69BD"/>
    <w:rsid w:val="009C7557"/>
    <w:rsid w:val="009C7559"/>
    <w:rsid w:val="009D0FB5"/>
    <w:rsid w:val="009D1300"/>
    <w:rsid w:val="009D15B3"/>
    <w:rsid w:val="009D3CEA"/>
    <w:rsid w:val="009D3E30"/>
    <w:rsid w:val="009D459E"/>
    <w:rsid w:val="009D52A9"/>
    <w:rsid w:val="009D63B4"/>
    <w:rsid w:val="009D6B0F"/>
    <w:rsid w:val="009D760E"/>
    <w:rsid w:val="009D79FC"/>
    <w:rsid w:val="009E26C0"/>
    <w:rsid w:val="009E2DDF"/>
    <w:rsid w:val="009E5992"/>
    <w:rsid w:val="009E63BD"/>
    <w:rsid w:val="009E6B3E"/>
    <w:rsid w:val="009F1CF2"/>
    <w:rsid w:val="009F24DB"/>
    <w:rsid w:val="009F2597"/>
    <w:rsid w:val="009F5D4B"/>
    <w:rsid w:val="00A03094"/>
    <w:rsid w:val="00A0356F"/>
    <w:rsid w:val="00A0575E"/>
    <w:rsid w:val="00A11C06"/>
    <w:rsid w:val="00A11C23"/>
    <w:rsid w:val="00A15274"/>
    <w:rsid w:val="00A1527B"/>
    <w:rsid w:val="00A15C47"/>
    <w:rsid w:val="00A16DC9"/>
    <w:rsid w:val="00A1701B"/>
    <w:rsid w:val="00A17031"/>
    <w:rsid w:val="00A20B35"/>
    <w:rsid w:val="00A21AE5"/>
    <w:rsid w:val="00A2402A"/>
    <w:rsid w:val="00A26218"/>
    <w:rsid w:val="00A26C31"/>
    <w:rsid w:val="00A30067"/>
    <w:rsid w:val="00A3053F"/>
    <w:rsid w:val="00A32A37"/>
    <w:rsid w:val="00A334DB"/>
    <w:rsid w:val="00A33662"/>
    <w:rsid w:val="00A33A3B"/>
    <w:rsid w:val="00A36658"/>
    <w:rsid w:val="00A4179A"/>
    <w:rsid w:val="00A41888"/>
    <w:rsid w:val="00A43035"/>
    <w:rsid w:val="00A44233"/>
    <w:rsid w:val="00A47A05"/>
    <w:rsid w:val="00A50544"/>
    <w:rsid w:val="00A513A9"/>
    <w:rsid w:val="00A527C8"/>
    <w:rsid w:val="00A52DA6"/>
    <w:rsid w:val="00A53D0D"/>
    <w:rsid w:val="00A6227D"/>
    <w:rsid w:val="00A62547"/>
    <w:rsid w:val="00A63452"/>
    <w:rsid w:val="00A638FC"/>
    <w:rsid w:val="00A6593E"/>
    <w:rsid w:val="00A66E63"/>
    <w:rsid w:val="00A70ECA"/>
    <w:rsid w:val="00A7743B"/>
    <w:rsid w:val="00A77C8E"/>
    <w:rsid w:val="00A81295"/>
    <w:rsid w:val="00A825FC"/>
    <w:rsid w:val="00A85715"/>
    <w:rsid w:val="00A85D1D"/>
    <w:rsid w:val="00A902E2"/>
    <w:rsid w:val="00A92707"/>
    <w:rsid w:val="00A95339"/>
    <w:rsid w:val="00AA1AF8"/>
    <w:rsid w:val="00AA451B"/>
    <w:rsid w:val="00AA6237"/>
    <w:rsid w:val="00AB0D8C"/>
    <w:rsid w:val="00AB11F0"/>
    <w:rsid w:val="00AB24DA"/>
    <w:rsid w:val="00AB4F14"/>
    <w:rsid w:val="00AB700E"/>
    <w:rsid w:val="00AB78D9"/>
    <w:rsid w:val="00AC1FCA"/>
    <w:rsid w:val="00AC2C0C"/>
    <w:rsid w:val="00AC3079"/>
    <w:rsid w:val="00AC3E9F"/>
    <w:rsid w:val="00AC4270"/>
    <w:rsid w:val="00AC4EC6"/>
    <w:rsid w:val="00AC5D48"/>
    <w:rsid w:val="00AC657B"/>
    <w:rsid w:val="00AD2EEF"/>
    <w:rsid w:val="00AE20C6"/>
    <w:rsid w:val="00AE4F19"/>
    <w:rsid w:val="00AE506C"/>
    <w:rsid w:val="00AE5D7D"/>
    <w:rsid w:val="00AF1A2A"/>
    <w:rsid w:val="00AF3112"/>
    <w:rsid w:val="00AF32B6"/>
    <w:rsid w:val="00AF4DE0"/>
    <w:rsid w:val="00AF592D"/>
    <w:rsid w:val="00AF6EF0"/>
    <w:rsid w:val="00B02B53"/>
    <w:rsid w:val="00B0304E"/>
    <w:rsid w:val="00B0398C"/>
    <w:rsid w:val="00B102D1"/>
    <w:rsid w:val="00B108D9"/>
    <w:rsid w:val="00B1215C"/>
    <w:rsid w:val="00B12F06"/>
    <w:rsid w:val="00B13353"/>
    <w:rsid w:val="00B1620A"/>
    <w:rsid w:val="00B1625A"/>
    <w:rsid w:val="00B163E5"/>
    <w:rsid w:val="00B17818"/>
    <w:rsid w:val="00B202EE"/>
    <w:rsid w:val="00B232BC"/>
    <w:rsid w:val="00B250F0"/>
    <w:rsid w:val="00B2523D"/>
    <w:rsid w:val="00B26516"/>
    <w:rsid w:val="00B265EF"/>
    <w:rsid w:val="00B302A3"/>
    <w:rsid w:val="00B31189"/>
    <w:rsid w:val="00B37D3D"/>
    <w:rsid w:val="00B40273"/>
    <w:rsid w:val="00B433CB"/>
    <w:rsid w:val="00B43F96"/>
    <w:rsid w:val="00B45DFF"/>
    <w:rsid w:val="00B477B3"/>
    <w:rsid w:val="00B5045D"/>
    <w:rsid w:val="00B5260C"/>
    <w:rsid w:val="00B53A11"/>
    <w:rsid w:val="00B53DC7"/>
    <w:rsid w:val="00B54DF1"/>
    <w:rsid w:val="00B55321"/>
    <w:rsid w:val="00B55712"/>
    <w:rsid w:val="00B55CFE"/>
    <w:rsid w:val="00B560EB"/>
    <w:rsid w:val="00B56CD9"/>
    <w:rsid w:val="00B60CA6"/>
    <w:rsid w:val="00B64BA8"/>
    <w:rsid w:val="00B655B6"/>
    <w:rsid w:val="00B66B6E"/>
    <w:rsid w:val="00B70EDC"/>
    <w:rsid w:val="00B7157D"/>
    <w:rsid w:val="00B71625"/>
    <w:rsid w:val="00B72C63"/>
    <w:rsid w:val="00B7345E"/>
    <w:rsid w:val="00B74740"/>
    <w:rsid w:val="00B821AD"/>
    <w:rsid w:val="00B82524"/>
    <w:rsid w:val="00B82A62"/>
    <w:rsid w:val="00B84A77"/>
    <w:rsid w:val="00B8535F"/>
    <w:rsid w:val="00B9389A"/>
    <w:rsid w:val="00B93E39"/>
    <w:rsid w:val="00B94E31"/>
    <w:rsid w:val="00B94EF7"/>
    <w:rsid w:val="00B9513A"/>
    <w:rsid w:val="00B95B52"/>
    <w:rsid w:val="00B96394"/>
    <w:rsid w:val="00BA766E"/>
    <w:rsid w:val="00BA7D22"/>
    <w:rsid w:val="00BB064A"/>
    <w:rsid w:val="00BB1441"/>
    <w:rsid w:val="00BB1683"/>
    <w:rsid w:val="00BB203E"/>
    <w:rsid w:val="00BB2234"/>
    <w:rsid w:val="00BB2D64"/>
    <w:rsid w:val="00BB3F28"/>
    <w:rsid w:val="00BB514C"/>
    <w:rsid w:val="00BB7EA5"/>
    <w:rsid w:val="00BC155B"/>
    <w:rsid w:val="00BC2B92"/>
    <w:rsid w:val="00BC37BD"/>
    <w:rsid w:val="00BC5BC4"/>
    <w:rsid w:val="00BD011A"/>
    <w:rsid w:val="00BD2157"/>
    <w:rsid w:val="00BE05E0"/>
    <w:rsid w:val="00BE347A"/>
    <w:rsid w:val="00BE3C77"/>
    <w:rsid w:val="00BE4FB2"/>
    <w:rsid w:val="00BE58C1"/>
    <w:rsid w:val="00BE70D5"/>
    <w:rsid w:val="00BE7A92"/>
    <w:rsid w:val="00BF12F7"/>
    <w:rsid w:val="00BF1A28"/>
    <w:rsid w:val="00BF4C71"/>
    <w:rsid w:val="00BF5A09"/>
    <w:rsid w:val="00BF69FC"/>
    <w:rsid w:val="00BF739F"/>
    <w:rsid w:val="00BF74A4"/>
    <w:rsid w:val="00C00C99"/>
    <w:rsid w:val="00C0225B"/>
    <w:rsid w:val="00C0257D"/>
    <w:rsid w:val="00C0568C"/>
    <w:rsid w:val="00C062FF"/>
    <w:rsid w:val="00C0686B"/>
    <w:rsid w:val="00C117C2"/>
    <w:rsid w:val="00C11B0F"/>
    <w:rsid w:val="00C130AE"/>
    <w:rsid w:val="00C131FC"/>
    <w:rsid w:val="00C1320F"/>
    <w:rsid w:val="00C138B6"/>
    <w:rsid w:val="00C154C0"/>
    <w:rsid w:val="00C179B5"/>
    <w:rsid w:val="00C207A7"/>
    <w:rsid w:val="00C22C25"/>
    <w:rsid w:val="00C232C9"/>
    <w:rsid w:val="00C30ED4"/>
    <w:rsid w:val="00C33C2F"/>
    <w:rsid w:val="00C34946"/>
    <w:rsid w:val="00C34B9D"/>
    <w:rsid w:val="00C401D3"/>
    <w:rsid w:val="00C4129A"/>
    <w:rsid w:val="00C41940"/>
    <w:rsid w:val="00C41A5E"/>
    <w:rsid w:val="00C43B49"/>
    <w:rsid w:val="00C5009E"/>
    <w:rsid w:val="00C5083F"/>
    <w:rsid w:val="00C50C09"/>
    <w:rsid w:val="00C511C3"/>
    <w:rsid w:val="00C57AF4"/>
    <w:rsid w:val="00C57D07"/>
    <w:rsid w:val="00C619D8"/>
    <w:rsid w:val="00C62467"/>
    <w:rsid w:val="00C62936"/>
    <w:rsid w:val="00C646D6"/>
    <w:rsid w:val="00C6550A"/>
    <w:rsid w:val="00C67452"/>
    <w:rsid w:val="00C675E5"/>
    <w:rsid w:val="00C70AE1"/>
    <w:rsid w:val="00C72A1A"/>
    <w:rsid w:val="00C72CEE"/>
    <w:rsid w:val="00C76418"/>
    <w:rsid w:val="00C77010"/>
    <w:rsid w:val="00C7738A"/>
    <w:rsid w:val="00C8041C"/>
    <w:rsid w:val="00C807F0"/>
    <w:rsid w:val="00C81368"/>
    <w:rsid w:val="00C81592"/>
    <w:rsid w:val="00C81E77"/>
    <w:rsid w:val="00C82FF3"/>
    <w:rsid w:val="00C8301B"/>
    <w:rsid w:val="00C84DD0"/>
    <w:rsid w:val="00C8531D"/>
    <w:rsid w:val="00C86E2F"/>
    <w:rsid w:val="00C87B8F"/>
    <w:rsid w:val="00C9248C"/>
    <w:rsid w:val="00C93ECA"/>
    <w:rsid w:val="00C94C31"/>
    <w:rsid w:val="00C95723"/>
    <w:rsid w:val="00C9761E"/>
    <w:rsid w:val="00CA1D18"/>
    <w:rsid w:val="00CA630F"/>
    <w:rsid w:val="00CA664C"/>
    <w:rsid w:val="00CA6DD6"/>
    <w:rsid w:val="00CB230D"/>
    <w:rsid w:val="00CB3A6B"/>
    <w:rsid w:val="00CB3FE7"/>
    <w:rsid w:val="00CB52FD"/>
    <w:rsid w:val="00CB68C7"/>
    <w:rsid w:val="00CB7610"/>
    <w:rsid w:val="00CB7916"/>
    <w:rsid w:val="00CC56BD"/>
    <w:rsid w:val="00CC6674"/>
    <w:rsid w:val="00CC7072"/>
    <w:rsid w:val="00CD102A"/>
    <w:rsid w:val="00CD1EB5"/>
    <w:rsid w:val="00CD277F"/>
    <w:rsid w:val="00CE08D0"/>
    <w:rsid w:val="00CE0E30"/>
    <w:rsid w:val="00CE15EE"/>
    <w:rsid w:val="00CE2C88"/>
    <w:rsid w:val="00CE32A3"/>
    <w:rsid w:val="00CE4B0C"/>
    <w:rsid w:val="00CE54E1"/>
    <w:rsid w:val="00CE5EA9"/>
    <w:rsid w:val="00CE6CF2"/>
    <w:rsid w:val="00CF0E68"/>
    <w:rsid w:val="00CF5C5C"/>
    <w:rsid w:val="00CF5D68"/>
    <w:rsid w:val="00CF6833"/>
    <w:rsid w:val="00CF71D3"/>
    <w:rsid w:val="00CF76F9"/>
    <w:rsid w:val="00D000EB"/>
    <w:rsid w:val="00D030D1"/>
    <w:rsid w:val="00D04F96"/>
    <w:rsid w:val="00D1235F"/>
    <w:rsid w:val="00D12887"/>
    <w:rsid w:val="00D13A2A"/>
    <w:rsid w:val="00D21BB7"/>
    <w:rsid w:val="00D231C4"/>
    <w:rsid w:val="00D25F1C"/>
    <w:rsid w:val="00D25F59"/>
    <w:rsid w:val="00D276F5"/>
    <w:rsid w:val="00D327C9"/>
    <w:rsid w:val="00D350B9"/>
    <w:rsid w:val="00D3518C"/>
    <w:rsid w:val="00D36ED6"/>
    <w:rsid w:val="00D373DA"/>
    <w:rsid w:val="00D40AE2"/>
    <w:rsid w:val="00D41635"/>
    <w:rsid w:val="00D42676"/>
    <w:rsid w:val="00D4452E"/>
    <w:rsid w:val="00D44881"/>
    <w:rsid w:val="00D473D0"/>
    <w:rsid w:val="00D5336B"/>
    <w:rsid w:val="00D53F7F"/>
    <w:rsid w:val="00D61007"/>
    <w:rsid w:val="00D64327"/>
    <w:rsid w:val="00D64BCE"/>
    <w:rsid w:val="00D652B6"/>
    <w:rsid w:val="00D662AB"/>
    <w:rsid w:val="00D75A62"/>
    <w:rsid w:val="00D77BB4"/>
    <w:rsid w:val="00D82E8D"/>
    <w:rsid w:val="00D8775D"/>
    <w:rsid w:val="00D90115"/>
    <w:rsid w:val="00D92F0A"/>
    <w:rsid w:val="00D938CB"/>
    <w:rsid w:val="00D940C7"/>
    <w:rsid w:val="00DA04CD"/>
    <w:rsid w:val="00DA2159"/>
    <w:rsid w:val="00DA281E"/>
    <w:rsid w:val="00DA3640"/>
    <w:rsid w:val="00DA3643"/>
    <w:rsid w:val="00DA47E9"/>
    <w:rsid w:val="00DA4DCB"/>
    <w:rsid w:val="00DA6D15"/>
    <w:rsid w:val="00DA71ED"/>
    <w:rsid w:val="00DB1EE8"/>
    <w:rsid w:val="00DB26F9"/>
    <w:rsid w:val="00DB2D6C"/>
    <w:rsid w:val="00DC00D2"/>
    <w:rsid w:val="00DC0B40"/>
    <w:rsid w:val="00DC59C1"/>
    <w:rsid w:val="00DD25C5"/>
    <w:rsid w:val="00DE00E9"/>
    <w:rsid w:val="00DE0C92"/>
    <w:rsid w:val="00DE1985"/>
    <w:rsid w:val="00DE3363"/>
    <w:rsid w:val="00DE40F4"/>
    <w:rsid w:val="00DE41E9"/>
    <w:rsid w:val="00DE4D36"/>
    <w:rsid w:val="00DE7D3B"/>
    <w:rsid w:val="00DF1399"/>
    <w:rsid w:val="00DF1D24"/>
    <w:rsid w:val="00DF1F70"/>
    <w:rsid w:val="00DF41ED"/>
    <w:rsid w:val="00DF55BC"/>
    <w:rsid w:val="00DF66E7"/>
    <w:rsid w:val="00DF79E1"/>
    <w:rsid w:val="00E0091D"/>
    <w:rsid w:val="00E02158"/>
    <w:rsid w:val="00E10FE0"/>
    <w:rsid w:val="00E1117C"/>
    <w:rsid w:val="00E1138A"/>
    <w:rsid w:val="00E11B98"/>
    <w:rsid w:val="00E14F4A"/>
    <w:rsid w:val="00E1560F"/>
    <w:rsid w:val="00E176C9"/>
    <w:rsid w:val="00E20E1D"/>
    <w:rsid w:val="00E21633"/>
    <w:rsid w:val="00E228BF"/>
    <w:rsid w:val="00E22DE2"/>
    <w:rsid w:val="00E265D7"/>
    <w:rsid w:val="00E26865"/>
    <w:rsid w:val="00E27B4E"/>
    <w:rsid w:val="00E317FC"/>
    <w:rsid w:val="00E33122"/>
    <w:rsid w:val="00E343A2"/>
    <w:rsid w:val="00E34AB1"/>
    <w:rsid w:val="00E35FA6"/>
    <w:rsid w:val="00E362C7"/>
    <w:rsid w:val="00E44893"/>
    <w:rsid w:val="00E50750"/>
    <w:rsid w:val="00E55076"/>
    <w:rsid w:val="00E575D1"/>
    <w:rsid w:val="00E62C70"/>
    <w:rsid w:val="00E63879"/>
    <w:rsid w:val="00E64FC2"/>
    <w:rsid w:val="00E67C06"/>
    <w:rsid w:val="00E7216B"/>
    <w:rsid w:val="00E74126"/>
    <w:rsid w:val="00E830C3"/>
    <w:rsid w:val="00E845C2"/>
    <w:rsid w:val="00E854E4"/>
    <w:rsid w:val="00E8725B"/>
    <w:rsid w:val="00E87932"/>
    <w:rsid w:val="00E87FFE"/>
    <w:rsid w:val="00E92897"/>
    <w:rsid w:val="00E92BF9"/>
    <w:rsid w:val="00E92FA4"/>
    <w:rsid w:val="00E94AEF"/>
    <w:rsid w:val="00E94BC6"/>
    <w:rsid w:val="00E9646F"/>
    <w:rsid w:val="00E96D09"/>
    <w:rsid w:val="00EA0217"/>
    <w:rsid w:val="00EA2225"/>
    <w:rsid w:val="00EA4E65"/>
    <w:rsid w:val="00EA50EF"/>
    <w:rsid w:val="00EA5612"/>
    <w:rsid w:val="00EA6C1B"/>
    <w:rsid w:val="00EB036E"/>
    <w:rsid w:val="00EB08B1"/>
    <w:rsid w:val="00EB2D1D"/>
    <w:rsid w:val="00EB46BF"/>
    <w:rsid w:val="00EB476B"/>
    <w:rsid w:val="00EB5FBA"/>
    <w:rsid w:val="00EB6F66"/>
    <w:rsid w:val="00EB7BB9"/>
    <w:rsid w:val="00EC1E31"/>
    <w:rsid w:val="00EC6868"/>
    <w:rsid w:val="00EC6F0A"/>
    <w:rsid w:val="00ED2CCD"/>
    <w:rsid w:val="00ED33AD"/>
    <w:rsid w:val="00ED4004"/>
    <w:rsid w:val="00ED44B4"/>
    <w:rsid w:val="00ED57D8"/>
    <w:rsid w:val="00ED6049"/>
    <w:rsid w:val="00ED68F5"/>
    <w:rsid w:val="00ED718D"/>
    <w:rsid w:val="00ED728A"/>
    <w:rsid w:val="00ED7BE9"/>
    <w:rsid w:val="00EE2F3D"/>
    <w:rsid w:val="00EF015F"/>
    <w:rsid w:val="00EF254A"/>
    <w:rsid w:val="00EF39D4"/>
    <w:rsid w:val="00EF4A5A"/>
    <w:rsid w:val="00EF6D7D"/>
    <w:rsid w:val="00EF758C"/>
    <w:rsid w:val="00EF78C3"/>
    <w:rsid w:val="00EF7A85"/>
    <w:rsid w:val="00F0098B"/>
    <w:rsid w:val="00F01559"/>
    <w:rsid w:val="00F062C4"/>
    <w:rsid w:val="00F10657"/>
    <w:rsid w:val="00F1149A"/>
    <w:rsid w:val="00F13225"/>
    <w:rsid w:val="00F13379"/>
    <w:rsid w:val="00F14CB3"/>
    <w:rsid w:val="00F14F6E"/>
    <w:rsid w:val="00F15237"/>
    <w:rsid w:val="00F16861"/>
    <w:rsid w:val="00F16F10"/>
    <w:rsid w:val="00F202DA"/>
    <w:rsid w:val="00F208EA"/>
    <w:rsid w:val="00F213ED"/>
    <w:rsid w:val="00F215CA"/>
    <w:rsid w:val="00F222A3"/>
    <w:rsid w:val="00F23325"/>
    <w:rsid w:val="00F26B75"/>
    <w:rsid w:val="00F26C14"/>
    <w:rsid w:val="00F26D4E"/>
    <w:rsid w:val="00F27FF4"/>
    <w:rsid w:val="00F30728"/>
    <w:rsid w:val="00F33464"/>
    <w:rsid w:val="00F340CB"/>
    <w:rsid w:val="00F3598E"/>
    <w:rsid w:val="00F36D9B"/>
    <w:rsid w:val="00F376FB"/>
    <w:rsid w:val="00F37816"/>
    <w:rsid w:val="00F37D2D"/>
    <w:rsid w:val="00F41D2C"/>
    <w:rsid w:val="00F41E33"/>
    <w:rsid w:val="00F5052B"/>
    <w:rsid w:val="00F50C99"/>
    <w:rsid w:val="00F520E3"/>
    <w:rsid w:val="00F52F0C"/>
    <w:rsid w:val="00F53433"/>
    <w:rsid w:val="00F538CE"/>
    <w:rsid w:val="00F53F2D"/>
    <w:rsid w:val="00F5546A"/>
    <w:rsid w:val="00F57610"/>
    <w:rsid w:val="00F6249F"/>
    <w:rsid w:val="00F63CF0"/>
    <w:rsid w:val="00F6577C"/>
    <w:rsid w:val="00F66017"/>
    <w:rsid w:val="00F66A10"/>
    <w:rsid w:val="00F7033E"/>
    <w:rsid w:val="00F72EEE"/>
    <w:rsid w:val="00F73A33"/>
    <w:rsid w:val="00F75C10"/>
    <w:rsid w:val="00F809A4"/>
    <w:rsid w:val="00F81578"/>
    <w:rsid w:val="00F82623"/>
    <w:rsid w:val="00F83AC2"/>
    <w:rsid w:val="00F86943"/>
    <w:rsid w:val="00F9215A"/>
    <w:rsid w:val="00F93BEA"/>
    <w:rsid w:val="00F93ED4"/>
    <w:rsid w:val="00F97260"/>
    <w:rsid w:val="00FB000B"/>
    <w:rsid w:val="00FB000C"/>
    <w:rsid w:val="00FB3233"/>
    <w:rsid w:val="00FB487F"/>
    <w:rsid w:val="00FB5D0B"/>
    <w:rsid w:val="00FC0664"/>
    <w:rsid w:val="00FC066E"/>
    <w:rsid w:val="00FC1F02"/>
    <w:rsid w:val="00FC2E78"/>
    <w:rsid w:val="00FC3C3B"/>
    <w:rsid w:val="00FC3EE6"/>
    <w:rsid w:val="00FC4185"/>
    <w:rsid w:val="00FC68F8"/>
    <w:rsid w:val="00FD0989"/>
    <w:rsid w:val="00FD1E8D"/>
    <w:rsid w:val="00FD24AB"/>
    <w:rsid w:val="00FD4323"/>
    <w:rsid w:val="00FE0B2D"/>
    <w:rsid w:val="00FE2AA5"/>
    <w:rsid w:val="00FE3647"/>
    <w:rsid w:val="00FE3B1F"/>
    <w:rsid w:val="00FE4B2A"/>
    <w:rsid w:val="00FF19FF"/>
    <w:rsid w:val="00FF210D"/>
    <w:rsid w:val="00FF38B8"/>
    <w:rsid w:val="00FF4D15"/>
    <w:rsid w:val="00FF61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629A74-E5A3-42FB-9A24-273A84DD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A6227D"/>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rsid w:val="00A6227D"/>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A6227D"/>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A6227D"/>
    <w:pPr>
      <w:keepNext/>
      <w:numPr>
        <w:ilvl w:val="3"/>
        <w:numId w:val="1"/>
      </w:numPr>
      <w:spacing w:before="240" w:after="60"/>
      <w:outlineLvl w:val="3"/>
    </w:pPr>
    <w:rPr>
      <w:b/>
      <w:bCs/>
      <w:sz w:val="28"/>
      <w:szCs w:val="28"/>
    </w:rPr>
  </w:style>
  <w:style w:type="paragraph" w:styleId="Ttulo5">
    <w:name w:val="heading 5"/>
    <w:basedOn w:val="Normal"/>
    <w:next w:val="Normal"/>
    <w:qFormat/>
    <w:rsid w:val="00A6227D"/>
    <w:pPr>
      <w:keepNext/>
      <w:numPr>
        <w:ilvl w:val="4"/>
        <w:numId w:val="1"/>
      </w:numPr>
      <w:spacing w:before="120"/>
      <w:jc w:val="center"/>
      <w:outlineLvl w:val="4"/>
    </w:pPr>
    <w:rPr>
      <w:rFonts w:ascii="Arial" w:hAnsi="Arial" w:cs="Arial"/>
      <w:b/>
      <w:bCs/>
      <w:snapToGrid w:val="0"/>
      <w:color w:val="000000"/>
      <w:sz w:val="72"/>
      <w:szCs w:val="72"/>
      <w:lang w:eastAsia="en-US"/>
    </w:rPr>
  </w:style>
  <w:style w:type="paragraph" w:styleId="Ttulo6">
    <w:name w:val="heading 6"/>
    <w:basedOn w:val="Normal"/>
    <w:next w:val="Normal"/>
    <w:qFormat/>
    <w:rsid w:val="00A6227D"/>
    <w:pPr>
      <w:numPr>
        <w:ilvl w:val="5"/>
        <w:numId w:val="1"/>
      </w:numPr>
      <w:spacing w:before="240" w:after="60"/>
      <w:outlineLvl w:val="5"/>
    </w:pPr>
    <w:rPr>
      <w:b/>
      <w:bCs/>
      <w:sz w:val="22"/>
      <w:szCs w:val="22"/>
    </w:rPr>
  </w:style>
  <w:style w:type="paragraph" w:styleId="Ttulo7">
    <w:name w:val="heading 7"/>
    <w:basedOn w:val="Normal"/>
    <w:next w:val="Normal"/>
    <w:qFormat/>
    <w:rsid w:val="00A6227D"/>
    <w:pPr>
      <w:numPr>
        <w:ilvl w:val="6"/>
        <w:numId w:val="1"/>
      </w:numPr>
      <w:spacing w:before="240" w:after="60"/>
      <w:outlineLvl w:val="6"/>
    </w:pPr>
  </w:style>
  <w:style w:type="paragraph" w:styleId="Ttulo8">
    <w:name w:val="heading 8"/>
    <w:basedOn w:val="Normal"/>
    <w:next w:val="Normal"/>
    <w:qFormat/>
    <w:rsid w:val="00A6227D"/>
    <w:pPr>
      <w:numPr>
        <w:ilvl w:val="7"/>
        <w:numId w:val="1"/>
      </w:numPr>
      <w:spacing w:before="240" w:after="60"/>
      <w:outlineLvl w:val="7"/>
    </w:pPr>
    <w:rPr>
      <w:i/>
      <w:iCs/>
    </w:rPr>
  </w:style>
  <w:style w:type="paragraph" w:styleId="Ttulo9">
    <w:name w:val="heading 9"/>
    <w:basedOn w:val="Normal"/>
    <w:next w:val="Normal"/>
    <w:qFormat/>
    <w:rsid w:val="00A6227D"/>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2">
    <w:name w:val="List 2"/>
    <w:basedOn w:val="Normal"/>
    <w:rsid w:val="00B250F0"/>
    <w:pPr>
      <w:numPr>
        <w:numId w:val="3"/>
      </w:numPr>
      <w:tabs>
        <w:tab w:val="clear" w:pos="1087"/>
        <w:tab w:val="num" w:pos="360"/>
      </w:tabs>
      <w:ind w:left="0" w:firstLine="0"/>
    </w:pPr>
  </w:style>
  <w:style w:type="table" w:styleId="Tabelacomgrade">
    <w:name w:val="Table Grid"/>
    <w:basedOn w:val="Tabelanormal"/>
    <w:rsid w:val="00C67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1">
    <w:name w:val="Lista 1"/>
    <w:basedOn w:val="Corpodetexto"/>
    <w:rsid w:val="00F10657"/>
    <w:pPr>
      <w:tabs>
        <w:tab w:val="left" w:pos="432"/>
      </w:tabs>
      <w:spacing w:before="120" w:after="0"/>
      <w:jc w:val="both"/>
    </w:pPr>
    <w:rPr>
      <w:rFonts w:ascii="Arial" w:hAnsi="Arial"/>
      <w:sz w:val="22"/>
      <w:szCs w:val="20"/>
    </w:rPr>
  </w:style>
  <w:style w:type="paragraph" w:styleId="Corpodetexto">
    <w:name w:val="Body Text"/>
    <w:basedOn w:val="Normal"/>
    <w:rsid w:val="00F10657"/>
    <w:pPr>
      <w:spacing w:after="120"/>
    </w:pPr>
  </w:style>
  <w:style w:type="paragraph" w:customStyle="1" w:styleId="Subitem">
    <w:name w:val="Subitem"/>
    <w:basedOn w:val="Normal"/>
    <w:rsid w:val="00F10657"/>
    <w:pPr>
      <w:numPr>
        <w:numId w:val="17"/>
      </w:numPr>
    </w:pPr>
  </w:style>
  <w:style w:type="paragraph" w:customStyle="1" w:styleId="EST2">
    <w:name w:val="EST_2"/>
    <w:basedOn w:val="Normal"/>
    <w:next w:val="Corpodetexto"/>
    <w:rsid w:val="00E64FC2"/>
    <w:pPr>
      <w:keepNext/>
      <w:tabs>
        <w:tab w:val="left" w:pos="432"/>
      </w:tabs>
      <w:spacing w:before="240" w:after="120"/>
      <w:jc w:val="both"/>
    </w:pPr>
    <w:rPr>
      <w:rFonts w:ascii="Arial" w:hAnsi="Arial"/>
      <w:smallCaps/>
      <w:spacing w:val="4"/>
      <w:sz w:val="22"/>
      <w:u w:val="single"/>
    </w:rPr>
  </w:style>
  <w:style w:type="paragraph" w:styleId="Cabealho">
    <w:name w:val="header"/>
    <w:basedOn w:val="Normal"/>
    <w:rsid w:val="00A43035"/>
    <w:pPr>
      <w:tabs>
        <w:tab w:val="center" w:pos="4252"/>
        <w:tab w:val="right" w:pos="8504"/>
      </w:tabs>
    </w:pPr>
  </w:style>
  <w:style w:type="paragraph" w:styleId="Rodap">
    <w:name w:val="footer"/>
    <w:basedOn w:val="Normal"/>
    <w:rsid w:val="00A43035"/>
    <w:pPr>
      <w:tabs>
        <w:tab w:val="center" w:pos="4252"/>
        <w:tab w:val="right" w:pos="8504"/>
      </w:tabs>
    </w:pPr>
  </w:style>
  <w:style w:type="character" w:styleId="Nmerodepgina">
    <w:name w:val="page number"/>
    <w:basedOn w:val="Fontepargpadro"/>
    <w:rsid w:val="00A43035"/>
  </w:style>
  <w:style w:type="paragraph" w:styleId="Sumrio1">
    <w:name w:val="toc 1"/>
    <w:basedOn w:val="Normal"/>
    <w:next w:val="Normal"/>
    <w:autoRedefine/>
    <w:semiHidden/>
    <w:rsid w:val="005C1F8A"/>
    <w:pPr>
      <w:tabs>
        <w:tab w:val="left" w:pos="567"/>
        <w:tab w:val="right" w:leader="dot" w:pos="8778"/>
      </w:tabs>
      <w:spacing w:before="120" w:after="120"/>
      <w:jc w:val="center"/>
    </w:pPr>
    <w:rPr>
      <w:rFonts w:ascii="Arial" w:hAnsi="Arial" w:cs="Arial"/>
      <w:b/>
      <w:bCs/>
      <w:caps/>
      <w:noProof/>
      <w:sz w:val="20"/>
      <w:szCs w:val="20"/>
      <w:lang w:val="pt-PT"/>
    </w:rPr>
  </w:style>
  <w:style w:type="paragraph" w:styleId="Sumrio2">
    <w:name w:val="toc 2"/>
    <w:basedOn w:val="Normal"/>
    <w:next w:val="Normal"/>
    <w:autoRedefine/>
    <w:semiHidden/>
    <w:rsid w:val="0076138F"/>
    <w:pPr>
      <w:tabs>
        <w:tab w:val="left" w:pos="993"/>
        <w:tab w:val="right" w:leader="dot" w:pos="8778"/>
      </w:tabs>
      <w:ind w:left="567"/>
    </w:pPr>
    <w:rPr>
      <w:rFonts w:ascii="Arial" w:hAnsi="Arial" w:cs="Arial"/>
      <w:smallCaps/>
      <w:noProof/>
      <w:sz w:val="20"/>
      <w:szCs w:val="20"/>
    </w:rPr>
  </w:style>
  <w:style w:type="paragraph" w:styleId="Sumrio3">
    <w:name w:val="toc 3"/>
    <w:basedOn w:val="Normal"/>
    <w:next w:val="Normal"/>
    <w:autoRedefine/>
    <w:semiHidden/>
    <w:rsid w:val="00CD277F"/>
    <w:pPr>
      <w:ind w:left="480"/>
    </w:pPr>
    <w:rPr>
      <w:i/>
      <w:iCs/>
      <w:sz w:val="20"/>
      <w:szCs w:val="20"/>
    </w:rPr>
  </w:style>
  <w:style w:type="paragraph" w:styleId="Sumrio4">
    <w:name w:val="toc 4"/>
    <w:basedOn w:val="Normal"/>
    <w:next w:val="Normal"/>
    <w:autoRedefine/>
    <w:semiHidden/>
    <w:rsid w:val="00CD277F"/>
    <w:pPr>
      <w:ind w:left="720"/>
    </w:pPr>
    <w:rPr>
      <w:sz w:val="18"/>
      <w:szCs w:val="18"/>
    </w:rPr>
  </w:style>
  <w:style w:type="paragraph" w:styleId="Sumrio5">
    <w:name w:val="toc 5"/>
    <w:basedOn w:val="Normal"/>
    <w:next w:val="Normal"/>
    <w:autoRedefine/>
    <w:semiHidden/>
    <w:rsid w:val="00CD277F"/>
    <w:pPr>
      <w:ind w:left="960"/>
    </w:pPr>
    <w:rPr>
      <w:sz w:val="18"/>
      <w:szCs w:val="18"/>
    </w:rPr>
  </w:style>
  <w:style w:type="paragraph" w:styleId="Sumrio6">
    <w:name w:val="toc 6"/>
    <w:basedOn w:val="Normal"/>
    <w:next w:val="Normal"/>
    <w:autoRedefine/>
    <w:semiHidden/>
    <w:rsid w:val="00CD277F"/>
    <w:pPr>
      <w:ind w:left="1200"/>
    </w:pPr>
    <w:rPr>
      <w:sz w:val="18"/>
      <w:szCs w:val="18"/>
    </w:rPr>
  </w:style>
  <w:style w:type="paragraph" w:styleId="Sumrio7">
    <w:name w:val="toc 7"/>
    <w:basedOn w:val="Normal"/>
    <w:next w:val="Normal"/>
    <w:autoRedefine/>
    <w:semiHidden/>
    <w:rsid w:val="00CD277F"/>
    <w:pPr>
      <w:ind w:left="1440"/>
    </w:pPr>
    <w:rPr>
      <w:sz w:val="18"/>
      <w:szCs w:val="18"/>
    </w:rPr>
  </w:style>
  <w:style w:type="paragraph" w:styleId="Sumrio8">
    <w:name w:val="toc 8"/>
    <w:basedOn w:val="Normal"/>
    <w:next w:val="Normal"/>
    <w:autoRedefine/>
    <w:semiHidden/>
    <w:rsid w:val="00CD277F"/>
    <w:pPr>
      <w:ind w:left="1680"/>
    </w:pPr>
    <w:rPr>
      <w:sz w:val="18"/>
      <w:szCs w:val="18"/>
    </w:rPr>
  </w:style>
  <w:style w:type="paragraph" w:styleId="Sumrio9">
    <w:name w:val="toc 9"/>
    <w:basedOn w:val="Normal"/>
    <w:next w:val="Normal"/>
    <w:autoRedefine/>
    <w:semiHidden/>
    <w:rsid w:val="00CD277F"/>
    <w:pPr>
      <w:ind w:left="1920"/>
    </w:pPr>
    <w:rPr>
      <w:sz w:val="18"/>
      <w:szCs w:val="18"/>
    </w:rPr>
  </w:style>
  <w:style w:type="character" w:styleId="Hyperlink">
    <w:name w:val="Hyperlink"/>
    <w:rsid w:val="00CD277F"/>
    <w:rPr>
      <w:color w:val="0000FF"/>
      <w:u w:val="single"/>
    </w:rPr>
  </w:style>
  <w:style w:type="paragraph" w:styleId="Textodenotaderodap">
    <w:name w:val="footnote text"/>
    <w:basedOn w:val="Normal"/>
    <w:semiHidden/>
    <w:rsid w:val="00E575D1"/>
    <w:rPr>
      <w:sz w:val="20"/>
      <w:szCs w:val="20"/>
    </w:rPr>
  </w:style>
  <w:style w:type="character" w:styleId="Refdenotaderodap">
    <w:name w:val="footnote reference"/>
    <w:semiHidden/>
    <w:rsid w:val="00E575D1"/>
    <w:rPr>
      <w:vertAlign w:val="superscript"/>
    </w:rPr>
  </w:style>
  <w:style w:type="paragraph" w:styleId="Lista">
    <w:name w:val="List"/>
    <w:basedOn w:val="Normal"/>
    <w:rsid w:val="006E6FD7"/>
    <w:pPr>
      <w:ind w:left="283" w:hanging="283"/>
    </w:pPr>
  </w:style>
  <w:style w:type="paragraph" w:styleId="Corpodetexto2">
    <w:name w:val="Body Text 2"/>
    <w:basedOn w:val="Normal"/>
    <w:rsid w:val="00145B43"/>
    <w:pPr>
      <w:spacing w:after="120" w:line="480" w:lineRule="auto"/>
    </w:pPr>
    <w:rPr>
      <w:szCs w:val="20"/>
    </w:rPr>
  </w:style>
  <w:style w:type="paragraph" w:customStyle="1" w:styleId="SubTitulo1">
    <w:name w:val="Sub Titulo 1"/>
    <w:basedOn w:val="Normal"/>
    <w:rsid w:val="00006779"/>
    <w:pPr>
      <w:spacing w:before="240" w:after="120" w:line="320" w:lineRule="atLeast"/>
      <w:jc w:val="both"/>
    </w:pPr>
    <w:rPr>
      <w:rFonts w:ascii="Arial" w:hAnsi="Arial"/>
      <w:b/>
      <w:sz w:val="26"/>
      <w:szCs w:val="20"/>
    </w:rPr>
  </w:style>
  <w:style w:type="character" w:customStyle="1" w:styleId="textopequeno">
    <w:name w:val="textopequeno"/>
    <w:basedOn w:val="Fontepargpadro"/>
    <w:rsid w:val="002A7D35"/>
  </w:style>
  <w:style w:type="paragraph" w:styleId="Textodebalo">
    <w:name w:val="Balloon Text"/>
    <w:basedOn w:val="Normal"/>
    <w:link w:val="TextodebaloChar"/>
    <w:rsid w:val="00425A74"/>
    <w:rPr>
      <w:rFonts w:ascii="Tahoma" w:hAnsi="Tahoma" w:cs="Tahoma"/>
      <w:sz w:val="16"/>
      <w:szCs w:val="16"/>
    </w:rPr>
  </w:style>
  <w:style w:type="character" w:customStyle="1" w:styleId="TextodebaloChar">
    <w:name w:val="Texto de balão Char"/>
    <w:basedOn w:val="Fontepargpadro"/>
    <w:link w:val="Textodebalo"/>
    <w:rsid w:val="00425A74"/>
    <w:rPr>
      <w:rFonts w:ascii="Tahoma" w:hAnsi="Tahoma" w:cs="Tahoma"/>
      <w:sz w:val="16"/>
      <w:szCs w:val="16"/>
    </w:rPr>
  </w:style>
  <w:style w:type="paragraph" w:styleId="NormalWeb">
    <w:name w:val="Normal (Web)"/>
    <w:basedOn w:val="Normal"/>
    <w:uiPriority w:val="99"/>
    <w:semiHidden/>
    <w:unhideWhenUsed/>
    <w:rsid w:val="00A3006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9972">
      <w:bodyDiv w:val="1"/>
      <w:marLeft w:val="0"/>
      <w:marRight w:val="0"/>
      <w:marTop w:val="0"/>
      <w:marBottom w:val="0"/>
      <w:divBdr>
        <w:top w:val="none" w:sz="0" w:space="0" w:color="auto"/>
        <w:left w:val="none" w:sz="0" w:space="0" w:color="auto"/>
        <w:bottom w:val="none" w:sz="0" w:space="0" w:color="auto"/>
        <w:right w:val="none" w:sz="0" w:space="0" w:color="auto"/>
      </w:divBdr>
    </w:div>
    <w:div w:id="102002013">
      <w:bodyDiv w:val="1"/>
      <w:marLeft w:val="0"/>
      <w:marRight w:val="0"/>
      <w:marTop w:val="0"/>
      <w:marBottom w:val="0"/>
      <w:divBdr>
        <w:top w:val="none" w:sz="0" w:space="0" w:color="auto"/>
        <w:left w:val="none" w:sz="0" w:space="0" w:color="auto"/>
        <w:bottom w:val="none" w:sz="0" w:space="0" w:color="auto"/>
        <w:right w:val="none" w:sz="0" w:space="0" w:color="auto"/>
      </w:divBdr>
    </w:div>
    <w:div w:id="252007879">
      <w:bodyDiv w:val="1"/>
      <w:marLeft w:val="0"/>
      <w:marRight w:val="0"/>
      <w:marTop w:val="0"/>
      <w:marBottom w:val="0"/>
      <w:divBdr>
        <w:top w:val="none" w:sz="0" w:space="0" w:color="auto"/>
        <w:left w:val="none" w:sz="0" w:space="0" w:color="auto"/>
        <w:bottom w:val="none" w:sz="0" w:space="0" w:color="auto"/>
        <w:right w:val="none" w:sz="0" w:space="0" w:color="auto"/>
      </w:divBdr>
    </w:div>
    <w:div w:id="366179739">
      <w:bodyDiv w:val="1"/>
      <w:marLeft w:val="0"/>
      <w:marRight w:val="0"/>
      <w:marTop w:val="0"/>
      <w:marBottom w:val="0"/>
      <w:divBdr>
        <w:top w:val="none" w:sz="0" w:space="0" w:color="auto"/>
        <w:left w:val="none" w:sz="0" w:space="0" w:color="auto"/>
        <w:bottom w:val="none" w:sz="0" w:space="0" w:color="auto"/>
        <w:right w:val="none" w:sz="0" w:space="0" w:color="auto"/>
      </w:divBdr>
    </w:div>
    <w:div w:id="545147440">
      <w:bodyDiv w:val="1"/>
      <w:marLeft w:val="0"/>
      <w:marRight w:val="0"/>
      <w:marTop w:val="0"/>
      <w:marBottom w:val="0"/>
      <w:divBdr>
        <w:top w:val="none" w:sz="0" w:space="0" w:color="auto"/>
        <w:left w:val="none" w:sz="0" w:space="0" w:color="auto"/>
        <w:bottom w:val="none" w:sz="0" w:space="0" w:color="auto"/>
        <w:right w:val="none" w:sz="0" w:space="0" w:color="auto"/>
      </w:divBdr>
    </w:div>
    <w:div w:id="627782501">
      <w:bodyDiv w:val="1"/>
      <w:marLeft w:val="0"/>
      <w:marRight w:val="0"/>
      <w:marTop w:val="0"/>
      <w:marBottom w:val="0"/>
      <w:divBdr>
        <w:top w:val="none" w:sz="0" w:space="0" w:color="auto"/>
        <w:left w:val="none" w:sz="0" w:space="0" w:color="auto"/>
        <w:bottom w:val="none" w:sz="0" w:space="0" w:color="auto"/>
        <w:right w:val="none" w:sz="0" w:space="0" w:color="auto"/>
      </w:divBdr>
    </w:div>
    <w:div w:id="671301747">
      <w:bodyDiv w:val="1"/>
      <w:marLeft w:val="0"/>
      <w:marRight w:val="0"/>
      <w:marTop w:val="0"/>
      <w:marBottom w:val="0"/>
      <w:divBdr>
        <w:top w:val="none" w:sz="0" w:space="0" w:color="auto"/>
        <w:left w:val="none" w:sz="0" w:space="0" w:color="auto"/>
        <w:bottom w:val="none" w:sz="0" w:space="0" w:color="auto"/>
        <w:right w:val="none" w:sz="0" w:space="0" w:color="auto"/>
      </w:divBdr>
    </w:div>
    <w:div w:id="885026526">
      <w:bodyDiv w:val="1"/>
      <w:marLeft w:val="0"/>
      <w:marRight w:val="0"/>
      <w:marTop w:val="0"/>
      <w:marBottom w:val="0"/>
      <w:divBdr>
        <w:top w:val="none" w:sz="0" w:space="0" w:color="auto"/>
        <w:left w:val="none" w:sz="0" w:space="0" w:color="auto"/>
        <w:bottom w:val="none" w:sz="0" w:space="0" w:color="auto"/>
        <w:right w:val="none" w:sz="0" w:space="0" w:color="auto"/>
      </w:divBdr>
    </w:div>
    <w:div w:id="939723253">
      <w:bodyDiv w:val="1"/>
      <w:marLeft w:val="0"/>
      <w:marRight w:val="0"/>
      <w:marTop w:val="0"/>
      <w:marBottom w:val="0"/>
      <w:divBdr>
        <w:top w:val="none" w:sz="0" w:space="0" w:color="auto"/>
        <w:left w:val="none" w:sz="0" w:space="0" w:color="auto"/>
        <w:bottom w:val="none" w:sz="0" w:space="0" w:color="auto"/>
        <w:right w:val="none" w:sz="0" w:space="0" w:color="auto"/>
      </w:divBdr>
    </w:div>
    <w:div w:id="960961420">
      <w:bodyDiv w:val="1"/>
      <w:marLeft w:val="0"/>
      <w:marRight w:val="0"/>
      <w:marTop w:val="0"/>
      <w:marBottom w:val="0"/>
      <w:divBdr>
        <w:top w:val="none" w:sz="0" w:space="0" w:color="auto"/>
        <w:left w:val="none" w:sz="0" w:space="0" w:color="auto"/>
        <w:bottom w:val="none" w:sz="0" w:space="0" w:color="auto"/>
        <w:right w:val="none" w:sz="0" w:space="0" w:color="auto"/>
      </w:divBdr>
    </w:div>
    <w:div w:id="1142505589">
      <w:bodyDiv w:val="1"/>
      <w:marLeft w:val="0"/>
      <w:marRight w:val="0"/>
      <w:marTop w:val="0"/>
      <w:marBottom w:val="0"/>
      <w:divBdr>
        <w:top w:val="none" w:sz="0" w:space="0" w:color="auto"/>
        <w:left w:val="none" w:sz="0" w:space="0" w:color="auto"/>
        <w:bottom w:val="none" w:sz="0" w:space="0" w:color="auto"/>
        <w:right w:val="none" w:sz="0" w:space="0" w:color="auto"/>
      </w:divBdr>
    </w:div>
    <w:div w:id="1177841486">
      <w:bodyDiv w:val="1"/>
      <w:marLeft w:val="0"/>
      <w:marRight w:val="0"/>
      <w:marTop w:val="0"/>
      <w:marBottom w:val="0"/>
      <w:divBdr>
        <w:top w:val="none" w:sz="0" w:space="0" w:color="auto"/>
        <w:left w:val="none" w:sz="0" w:space="0" w:color="auto"/>
        <w:bottom w:val="none" w:sz="0" w:space="0" w:color="auto"/>
        <w:right w:val="none" w:sz="0" w:space="0" w:color="auto"/>
      </w:divBdr>
    </w:div>
    <w:div w:id="1289897881">
      <w:bodyDiv w:val="1"/>
      <w:marLeft w:val="0"/>
      <w:marRight w:val="0"/>
      <w:marTop w:val="0"/>
      <w:marBottom w:val="0"/>
      <w:divBdr>
        <w:top w:val="none" w:sz="0" w:space="0" w:color="auto"/>
        <w:left w:val="none" w:sz="0" w:space="0" w:color="auto"/>
        <w:bottom w:val="none" w:sz="0" w:space="0" w:color="auto"/>
        <w:right w:val="none" w:sz="0" w:space="0" w:color="auto"/>
      </w:divBdr>
    </w:div>
    <w:div w:id="1323269630">
      <w:bodyDiv w:val="1"/>
      <w:marLeft w:val="0"/>
      <w:marRight w:val="0"/>
      <w:marTop w:val="0"/>
      <w:marBottom w:val="0"/>
      <w:divBdr>
        <w:top w:val="none" w:sz="0" w:space="0" w:color="auto"/>
        <w:left w:val="none" w:sz="0" w:space="0" w:color="auto"/>
        <w:bottom w:val="none" w:sz="0" w:space="0" w:color="auto"/>
        <w:right w:val="none" w:sz="0" w:space="0" w:color="auto"/>
      </w:divBdr>
    </w:div>
    <w:div w:id="1448162465">
      <w:bodyDiv w:val="1"/>
      <w:marLeft w:val="0"/>
      <w:marRight w:val="0"/>
      <w:marTop w:val="0"/>
      <w:marBottom w:val="0"/>
      <w:divBdr>
        <w:top w:val="none" w:sz="0" w:space="0" w:color="auto"/>
        <w:left w:val="none" w:sz="0" w:space="0" w:color="auto"/>
        <w:bottom w:val="none" w:sz="0" w:space="0" w:color="auto"/>
        <w:right w:val="none" w:sz="0" w:space="0" w:color="auto"/>
      </w:divBdr>
    </w:div>
    <w:div w:id="1498955488">
      <w:bodyDiv w:val="1"/>
      <w:marLeft w:val="0"/>
      <w:marRight w:val="0"/>
      <w:marTop w:val="0"/>
      <w:marBottom w:val="0"/>
      <w:divBdr>
        <w:top w:val="none" w:sz="0" w:space="0" w:color="auto"/>
        <w:left w:val="none" w:sz="0" w:space="0" w:color="auto"/>
        <w:bottom w:val="none" w:sz="0" w:space="0" w:color="auto"/>
        <w:right w:val="none" w:sz="0" w:space="0" w:color="auto"/>
      </w:divBdr>
    </w:div>
    <w:div w:id="1543900829">
      <w:bodyDiv w:val="1"/>
      <w:marLeft w:val="0"/>
      <w:marRight w:val="0"/>
      <w:marTop w:val="0"/>
      <w:marBottom w:val="0"/>
      <w:divBdr>
        <w:top w:val="none" w:sz="0" w:space="0" w:color="auto"/>
        <w:left w:val="none" w:sz="0" w:space="0" w:color="auto"/>
        <w:bottom w:val="none" w:sz="0" w:space="0" w:color="auto"/>
        <w:right w:val="none" w:sz="0" w:space="0" w:color="auto"/>
      </w:divBdr>
    </w:div>
    <w:div w:id="1573274972">
      <w:bodyDiv w:val="1"/>
      <w:marLeft w:val="0"/>
      <w:marRight w:val="0"/>
      <w:marTop w:val="0"/>
      <w:marBottom w:val="0"/>
      <w:divBdr>
        <w:top w:val="none" w:sz="0" w:space="0" w:color="auto"/>
        <w:left w:val="none" w:sz="0" w:space="0" w:color="auto"/>
        <w:bottom w:val="none" w:sz="0" w:space="0" w:color="auto"/>
        <w:right w:val="none" w:sz="0" w:space="0" w:color="auto"/>
      </w:divBdr>
      <w:divsChild>
        <w:div w:id="1210462240">
          <w:marLeft w:val="120"/>
          <w:marRight w:val="120"/>
          <w:marTop w:val="120"/>
          <w:marBottom w:val="120"/>
          <w:divBdr>
            <w:top w:val="none" w:sz="0" w:space="0" w:color="auto"/>
            <w:left w:val="none" w:sz="0" w:space="0" w:color="auto"/>
            <w:bottom w:val="none" w:sz="0" w:space="0" w:color="auto"/>
            <w:right w:val="none" w:sz="0" w:space="0" w:color="auto"/>
          </w:divBdr>
          <w:divsChild>
            <w:div w:id="1986541514">
              <w:marLeft w:val="0"/>
              <w:marRight w:val="0"/>
              <w:marTop w:val="0"/>
              <w:marBottom w:val="0"/>
              <w:divBdr>
                <w:top w:val="none" w:sz="0" w:space="0" w:color="auto"/>
                <w:left w:val="none" w:sz="0" w:space="0" w:color="auto"/>
                <w:bottom w:val="none" w:sz="0" w:space="0" w:color="auto"/>
                <w:right w:val="none" w:sz="0" w:space="0" w:color="auto"/>
              </w:divBdr>
              <w:divsChild>
                <w:div w:id="268632968">
                  <w:marLeft w:val="0"/>
                  <w:marRight w:val="0"/>
                  <w:marTop w:val="0"/>
                  <w:marBottom w:val="0"/>
                  <w:divBdr>
                    <w:top w:val="none" w:sz="0" w:space="0" w:color="auto"/>
                    <w:left w:val="none" w:sz="0" w:space="0" w:color="auto"/>
                    <w:bottom w:val="none" w:sz="0" w:space="0" w:color="auto"/>
                    <w:right w:val="none" w:sz="0" w:space="0" w:color="auto"/>
                  </w:divBdr>
                </w:div>
                <w:div w:id="356586271">
                  <w:marLeft w:val="0"/>
                  <w:marRight w:val="0"/>
                  <w:marTop w:val="0"/>
                  <w:marBottom w:val="0"/>
                  <w:divBdr>
                    <w:top w:val="none" w:sz="0" w:space="0" w:color="auto"/>
                    <w:left w:val="none" w:sz="0" w:space="0" w:color="auto"/>
                    <w:bottom w:val="none" w:sz="0" w:space="0" w:color="auto"/>
                    <w:right w:val="none" w:sz="0" w:space="0" w:color="auto"/>
                  </w:divBdr>
                </w:div>
                <w:div w:id="357853377">
                  <w:marLeft w:val="0"/>
                  <w:marRight w:val="0"/>
                  <w:marTop w:val="0"/>
                  <w:marBottom w:val="0"/>
                  <w:divBdr>
                    <w:top w:val="none" w:sz="0" w:space="0" w:color="auto"/>
                    <w:left w:val="none" w:sz="0" w:space="0" w:color="auto"/>
                    <w:bottom w:val="none" w:sz="0" w:space="0" w:color="auto"/>
                    <w:right w:val="none" w:sz="0" w:space="0" w:color="auto"/>
                  </w:divBdr>
                </w:div>
                <w:div w:id="1623418234">
                  <w:marLeft w:val="0"/>
                  <w:marRight w:val="0"/>
                  <w:marTop w:val="0"/>
                  <w:marBottom w:val="0"/>
                  <w:divBdr>
                    <w:top w:val="none" w:sz="0" w:space="0" w:color="auto"/>
                    <w:left w:val="none" w:sz="0" w:space="0" w:color="auto"/>
                    <w:bottom w:val="none" w:sz="0" w:space="0" w:color="auto"/>
                    <w:right w:val="none" w:sz="0" w:space="0" w:color="auto"/>
                  </w:divBdr>
                </w:div>
                <w:div w:id="1636182692">
                  <w:marLeft w:val="0"/>
                  <w:marRight w:val="0"/>
                  <w:marTop w:val="0"/>
                  <w:marBottom w:val="0"/>
                  <w:divBdr>
                    <w:top w:val="none" w:sz="0" w:space="0" w:color="auto"/>
                    <w:left w:val="none" w:sz="0" w:space="0" w:color="auto"/>
                    <w:bottom w:val="none" w:sz="0" w:space="0" w:color="auto"/>
                    <w:right w:val="none" w:sz="0" w:space="0" w:color="auto"/>
                  </w:divBdr>
                </w:div>
                <w:div w:id="182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3499">
      <w:bodyDiv w:val="1"/>
      <w:marLeft w:val="0"/>
      <w:marRight w:val="0"/>
      <w:marTop w:val="0"/>
      <w:marBottom w:val="0"/>
      <w:divBdr>
        <w:top w:val="none" w:sz="0" w:space="0" w:color="auto"/>
        <w:left w:val="none" w:sz="0" w:space="0" w:color="auto"/>
        <w:bottom w:val="none" w:sz="0" w:space="0" w:color="auto"/>
        <w:right w:val="none" w:sz="0" w:space="0" w:color="auto"/>
      </w:divBdr>
      <w:divsChild>
        <w:div w:id="1746799122">
          <w:marLeft w:val="0"/>
          <w:marRight w:val="0"/>
          <w:marTop w:val="0"/>
          <w:marBottom w:val="0"/>
          <w:divBdr>
            <w:top w:val="none" w:sz="0" w:space="0" w:color="auto"/>
            <w:left w:val="none" w:sz="0" w:space="0" w:color="auto"/>
            <w:bottom w:val="none" w:sz="0" w:space="0" w:color="auto"/>
            <w:right w:val="none" w:sz="0" w:space="0" w:color="auto"/>
          </w:divBdr>
        </w:div>
      </w:divsChild>
    </w:div>
    <w:div w:id="1688561730">
      <w:bodyDiv w:val="1"/>
      <w:marLeft w:val="0"/>
      <w:marRight w:val="0"/>
      <w:marTop w:val="0"/>
      <w:marBottom w:val="0"/>
      <w:divBdr>
        <w:top w:val="none" w:sz="0" w:space="0" w:color="auto"/>
        <w:left w:val="none" w:sz="0" w:space="0" w:color="auto"/>
        <w:bottom w:val="none" w:sz="0" w:space="0" w:color="auto"/>
        <w:right w:val="none" w:sz="0" w:space="0" w:color="auto"/>
      </w:divBdr>
    </w:div>
    <w:div w:id="1801879018">
      <w:bodyDiv w:val="1"/>
      <w:marLeft w:val="0"/>
      <w:marRight w:val="0"/>
      <w:marTop w:val="0"/>
      <w:marBottom w:val="0"/>
      <w:divBdr>
        <w:top w:val="none" w:sz="0" w:space="0" w:color="auto"/>
        <w:left w:val="none" w:sz="0" w:space="0" w:color="auto"/>
        <w:bottom w:val="none" w:sz="0" w:space="0" w:color="auto"/>
        <w:right w:val="none" w:sz="0" w:space="0" w:color="auto"/>
      </w:divBdr>
    </w:div>
    <w:div w:id="1817410255">
      <w:bodyDiv w:val="1"/>
      <w:marLeft w:val="0"/>
      <w:marRight w:val="0"/>
      <w:marTop w:val="0"/>
      <w:marBottom w:val="0"/>
      <w:divBdr>
        <w:top w:val="none" w:sz="0" w:space="0" w:color="auto"/>
        <w:left w:val="none" w:sz="0" w:space="0" w:color="auto"/>
        <w:bottom w:val="none" w:sz="0" w:space="0" w:color="auto"/>
        <w:right w:val="none" w:sz="0" w:space="0" w:color="auto"/>
      </w:divBdr>
    </w:div>
    <w:div w:id="1895116227">
      <w:bodyDiv w:val="1"/>
      <w:marLeft w:val="0"/>
      <w:marRight w:val="0"/>
      <w:marTop w:val="0"/>
      <w:marBottom w:val="0"/>
      <w:divBdr>
        <w:top w:val="none" w:sz="0" w:space="0" w:color="auto"/>
        <w:left w:val="none" w:sz="0" w:space="0" w:color="auto"/>
        <w:bottom w:val="none" w:sz="0" w:space="0" w:color="auto"/>
        <w:right w:val="none" w:sz="0" w:space="0" w:color="auto"/>
      </w:divBdr>
    </w:div>
    <w:div w:id="1942689442">
      <w:bodyDiv w:val="1"/>
      <w:marLeft w:val="0"/>
      <w:marRight w:val="0"/>
      <w:marTop w:val="0"/>
      <w:marBottom w:val="0"/>
      <w:divBdr>
        <w:top w:val="none" w:sz="0" w:space="0" w:color="auto"/>
        <w:left w:val="none" w:sz="0" w:space="0" w:color="auto"/>
        <w:bottom w:val="none" w:sz="0" w:space="0" w:color="auto"/>
        <w:right w:val="none" w:sz="0" w:space="0" w:color="auto"/>
      </w:divBdr>
      <w:divsChild>
        <w:div w:id="1266379449">
          <w:marLeft w:val="0"/>
          <w:marRight w:val="0"/>
          <w:marTop w:val="0"/>
          <w:marBottom w:val="0"/>
          <w:divBdr>
            <w:top w:val="none" w:sz="0" w:space="0" w:color="auto"/>
            <w:left w:val="none" w:sz="0" w:space="0" w:color="auto"/>
            <w:bottom w:val="none" w:sz="0" w:space="0" w:color="auto"/>
            <w:right w:val="none" w:sz="0" w:space="0" w:color="auto"/>
          </w:divBdr>
        </w:div>
      </w:divsChild>
    </w:div>
    <w:div w:id="2038771192">
      <w:bodyDiv w:val="1"/>
      <w:marLeft w:val="0"/>
      <w:marRight w:val="0"/>
      <w:marTop w:val="0"/>
      <w:marBottom w:val="0"/>
      <w:divBdr>
        <w:top w:val="none" w:sz="0" w:space="0" w:color="auto"/>
        <w:left w:val="none" w:sz="0" w:space="0" w:color="auto"/>
        <w:bottom w:val="none" w:sz="0" w:space="0" w:color="auto"/>
        <w:right w:val="none" w:sz="0" w:space="0" w:color="auto"/>
      </w:divBdr>
    </w:div>
    <w:div w:id="2042392069">
      <w:bodyDiv w:val="1"/>
      <w:marLeft w:val="0"/>
      <w:marRight w:val="0"/>
      <w:marTop w:val="0"/>
      <w:marBottom w:val="0"/>
      <w:divBdr>
        <w:top w:val="none" w:sz="0" w:space="0" w:color="auto"/>
        <w:left w:val="none" w:sz="0" w:space="0" w:color="auto"/>
        <w:bottom w:val="none" w:sz="0" w:space="0" w:color="auto"/>
        <w:right w:val="none" w:sz="0" w:space="0" w:color="auto"/>
      </w:divBdr>
    </w:div>
    <w:div w:id="20788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4211-EFB0-410A-9634-AD9BE325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9470</Words>
  <Characters>51143</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Política de Investimentos</vt:lpstr>
    </vt:vector>
  </TitlesOfParts>
  <Company/>
  <LinksUpToDate>false</LinksUpToDate>
  <CharactersWithSpaces>60493</CharactersWithSpaces>
  <SharedDoc>false</SharedDoc>
  <HLinks>
    <vt:vector size="174" baseType="variant">
      <vt:variant>
        <vt:i4>1441846</vt:i4>
      </vt:variant>
      <vt:variant>
        <vt:i4>113</vt:i4>
      </vt:variant>
      <vt:variant>
        <vt:i4>0</vt:i4>
      </vt:variant>
      <vt:variant>
        <vt:i4>5</vt:i4>
      </vt:variant>
      <vt:variant>
        <vt:lpwstr/>
      </vt:variant>
      <vt:variant>
        <vt:lpwstr>_Toc184817260</vt:lpwstr>
      </vt:variant>
      <vt:variant>
        <vt:i4>1441846</vt:i4>
      </vt:variant>
      <vt:variant>
        <vt:i4>107</vt:i4>
      </vt:variant>
      <vt:variant>
        <vt:i4>0</vt:i4>
      </vt:variant>
      <vt:variant>
        <vt:i4>5</vt:i4>
      </vt:variant>
      <vt:variant>
        <vt:lpwstr/>
      </vt:variant>
      <vt:variant>
        <vt:lpwstr>_Toc184817260</vt:lpwstr>
      </vt:variant>
      <vt:variant>
        <vt:i4>1310774</vt:i4>
      </vt:variant>
      <vt:variant>
        <vt:i4>104</vt:i4>
      </vt:variant>
      <vt:variant>
        <vt:i4>0</vt:i4>
      </vt:variant>
      <vt:variant>
        <vt:i4>5</vt:i4>
      </vt:variant>
      <vt:variant>
        <vt:lpwstr/>
      </vt:variant>
      <vt:variant>
        <vt:lpwstr>_Toc184817249</vt:lpwstr>
      </vt:variant>
      <vt:variant>
        <vt:i4>1310774</vt:i4>
      </vt:variant>
      <vt:variant>
        <vt:i4>101</vt:i4>
      </vt:variant>
      <vt:variant>
        <vt:i4>0</vt:i4>
      </vt:variant>
      <vt:variant>
        <vt:i4>5</vt:i4>
      </vt:variant>
      <vt:variant>
        <vt:lpwstr/>
      </vt:variant>
      <vt:variant>
        <vt:lpwstr>_Toc184817249</vt:lpwstr>
      </vt:variant>
      <vt:variant>
        <vt:i4>1310774</vt:i4>
      </vt:variant>
      <vt:variant>
        <vt:i4>98</vt:i4>
      </vt:variant>
      <vt:variant>
        <vt:i4>0</vt:i4>
      </vt:variant>
      <vt:variant>
        <vt:i4>5</vt:i4>
      </vt:variant>
      <vt:variant>
        <vt:lpwstr/>
      </vt:variant>
      <vt:variant>
        <vt:lpwstr>_Toc184817249</vt:lpwstr>
      </vt:variant>
      <vt:variant>
        <vt:i4>1310774</vt:i4>
      </vt:variant>
      <vt:variant>
        <vt:i4>95</vt:i4>
      </vt:variant>
      <vt:variant>
        <vt:i4>0</vt:i4>
      </vt:variant>
      <vt:variant>
        <vt:i4>5</vt:i4>
      </vt:variant>
      <vt:variant>
        <vt:lpwstr/>
      </vt:variant>
      <vt:variant>
        <vt:lpwstr>_Toc184817249</vt:lpwstr>
      </vt:variant>
      <vt:variant>
        <vt:i4>1310774</vt:i4>
      </vt:variant>
      <vt:variant>
        <vt:i4>92</vt:i4>
      </vt:variant>
      <vt:variant>
        <vt:i4>0</vt:i4>
      </vt:variant>
      <vt:variant>
        <vt:i4>5</vt:i4>
      </vt:variant>
      <vt:variant>
        <vt:lpwstr/>
      </vt:variant>
      <vt:variant>
        <vt:lpwstr>_Toc184817249</vt:lpwstr>
      </vt:variant>
      <vt:variant>
        <vt:i4>1310774</vt:i4>
      </vt:variant>
      <vt:variant>
        <vt:i4>89</vt:i4>
      </vt:variant>
      <vt:variant>
        <vt:i4>0</vt:i4>
      </vt:variant>
      <vt:variant>
        <vt:i4>5</vt:i4>
      </vt:variant>
      <vt:variant>
        <vt:lpwstr/>
      </vt:variant>
      <vt:variant>
        <vt:lpwstr>_Toc184817249</vt:lpwstr>
      </vt:variant>
      <vt:variant>
        <vt:i4>1310774</vt:i4>
      </vt:variant>
      <vt:variant>
        <vt:i4>86</vt:i4>
      </vt:variant>
      <vt:variant>
        <vt:i4>0</vt:i4>
      </vt:variant>
      <vt:variant>
        <vt:i4>5</vt:i4>
      </vt:variant>
      <vt:variant>
        <vt:lpwstr/>
      </vt:variant>
      <vt:variant>
        <vt:lpwstr>_Toc184817249</vt:lpwstr>
      </vt:variant>
      <vt:variant>
        <vt:i4>1376310</vt:i4>
      </vt:variant>
      <vt:variant>
        <vt:i4>83</vt:i4>
      </vt:variant>
      <vt:variant>
        <vt:i4>0</vt:i4>
      </vt:variant>
      <vt:variant>
        <vt:i4>5</vt:i4>
      </vt:variant>
      <vt:variant>
        <vt:lpwstr/>
      </vt:variant>
      <vt:variant>
        <vt:lpwstr>_Toc184817253</vt:lpwstr>
      </vt:variant>
      <vt:variant>
        <vt:i4>1310774</vt:i4>
      </vt:variant>
      <vt:variant>
        <vt:i4>80</vt:i4>
      </vt:variant>
      <vt:variant>
        <vt:i4>0</vt:i4>
      </vt:variant>
      <vt:variant>
        <vt:i4>5</vt:i4>
      </vt:variant>
      <vt:variant>
        <vt:lpwstr/>
      </vt:variant>
      <vt:variant>
        <vt:lpwstr>_Toc184817249</vt:lpwstr>
      </vt:variant>
      <vt:variant>
        <vt:i4>1310774</vt:i4>
      </vt:variant>
      <vt:variant>
        <vt:i4>77</vt:i4>
      </vt:variant>
      <vt:variant>
        <vt:i4>0</vt:i4>
      </vt:variant>
      <vt:variant>
        <vt:i4>5</vt:i4>
      </vt:variant>
      <vt:variant>
        <vt:lpwstr/>
      </vt:variant>
      <vt:variant>
        <vt:lpwstr>_Toc184817249</vt:lpwstr>
      </vt:variant>
      <vt:variant>
        <vt:i4>1310774</vt:i4>
      </vt:variant>
      <vt:variant>
        <vt:i4>74</vt:i4>
      </vt:variant>
      <vt:variant>
        <vt:i4>0</vt:i4>
      </vt:variant>
      <vt:variant>
        <vt:i4>5</vt:i4>
      </vt:variant>
      <vt:variant>
        <vt:lpwstr/>
      </vt:variant>
      <vt:variant>
        <vt:lpwstr>_Toc184817249</vt:lpwstr>
      </vt:variant>
      <vt:variant>
        <vt:i4>1310774</vt:i4>
      </vt:variant>
      <vt:variant>
        <vt:i4>71</vt:i4>
      </vt:variant>
      <vt:variant>
        <vt:i4>0</vt:i4>
      </vt:variant>
      <vt:variant>
        <vt:i4>5</vt:i4>
      </vt:variant>
      <vt:variant>
        <vt:lpwstr/>
      </vt:variant>
      <vt:variant>
        <vt:lpwstr>_Toc184817249</vt:lpwstr>
      </vt:variant>
      <vt:variant>
        <vt:i4>1376310</vt:i4>
      </vt:variant>
      <vt:variant>
        <vt:i4>65</vt:i4>
      </vt:variant>
      <vt:variant>
        <vt:i4>0</vt:i4>
      </vt:variant>
      <vt:variant>
        <vt:i4>5</vt:i4>
      </vt:variant>
      <vt:variant>
        <vt:lpwstr/>
      </vt:variant>
      <vt:variant>
        <vt:lpwstr>_Toc184817253</vt:lpwstr>
      </vt:variant>
      <vt:variant>
        <vt:i4>1376310</vt:i4>
      </vt:variant>
      <vt:variant>
        <vt:i4>59</vt:i4>
      </vt:variant>
      <vt:variant>
        <vt:i4>0</vt:i4>
      </vt:variant>
      <vt:variant>
        <vt:i4>5</vt:i4>
      </vt:variant>
      <vt:variant>
        <vt:lpwstr/>
      </vt:variant>
      <vt:variant>
        <vt:lpwstr>_Toc184817251</vt:lpwstr>
      </vt:variant>
      <vt:variant>
        <vt:i4>1376310</vt:i4>
      </vt:variant>
      <vt:variant>
        <vt:i4>53</vt:i4>
      </vt:variant>
      <vt:variant>
        <vt:i4>0</vt:i4>
      </vt:variant>
      <vt:variant>
        <vt:i4>5</vt:i4>
      </vt:variant>
      <vt:variant>
        <vt:lpwstr/>
      </vt:variant>
      <vt:variant>
        <vt:lpwstr>_Toc184817250</vt:lpwstr>
      </vt:variant>
      <vt:variant>
        <vt:i4>1310774</vt:i4>
      </vt:variant>
      <vt:variant>
        <vt:i4>47</vt:i4>
      </vt:variant>
      <vt:variant>
        <vt:i4>0</vt:i4>
      </vt:variant>
      <vt:variant>
        <vt:i4>5</vt:i4>
      </vt:variant>
      <vt:variant>
        <vt:lpwstr/>
      </vt:variant>
      <vt:variant>
        <vt:lpwstr>_Toc184817249</vt:lpwstr>
      </vt:variant>
      <vt:variant>
        <vt:i4>1310774</vt:i4>
      </vt:variant>
      <vt:variant>
        <vt:i4>44</vt:i4>
      </vt:variant>
      <vt:variant>
        <vt:i4>0</vt:i4>
      </vt:variant>
      <vt:variant>
        <vt:i4>5</vt:i4>
      </vt:variant>
      <vt:variant>
        <vt:lpwstr/>
      </vt:variant>
      <vt:variant>
        <vt:lpwstr>_Toc184817249</vt:lpwstr>
      </vt:variant>
      <vt:variant>
        <vt:i4>1310774</vt:i4>
      </vt:variant>
      <vt:variant>
        <vt:i4>41</vt:i4>
      </vt:variant>
      <vt:variant>
        <vt:i4>0</vt:i4>
      </vt:variant>
      <vt:variant>
        <vt:i4>5</vt:i4>
      </vt:variant>
      <vt:variant>
        <vt:lpwstr/>
      </vt:variant>
      <vt:variant>
        <vt:lpwstr>_Toc184817249</vt:lpwstr>
      </vt:variant>
      <vt:variant>
        <vt:i4>1310774</vt:i4>
      </vt:variant>
      <vt:variant>
        <vt:i4>38</vt:i4>
      </vt:variant>
      <vt:variant>
        <vt:i4>0</vt:i4>
      </vt:variant>
      <vt:variant>
        <vt:i4>5</vt:i4>
      </vt:variant>
      <vt:variant>
        <vt:lpwstr/>
      </vt:variant>
      <vt:variant>
        <vt:lpwstr>_Toc184817249</vt:lpwstr>
      </vt:variant>
      <vt:variant>
        <vt:i4>1310774</vt:i4>
      </vt:variant>
      <vt:variant>
        <vt:i4>35</vt:i4>
      </vt:variant>
      <vt:variant>
        <vt:i4>0</vt:i4>
      </vt:variant>
      <vt:variant>
        <vt:i4>5</vt:i4>
      </vt:variant>
      <vt:variant>
        <vt:lpwstr/>
      </vt:variant>
      <vt:variant>
        <vt:lpwstr>_Toc184817249</vt:lpwstr>
      </vt:variant>
      <vt:variant>
        <vt:i4>1310774</vt:i4>
      </vt:variant>
      <vt:variant>
        <vt:i4>32</vt:i4>
      </vt:variant>
      <vt:variant>
        <vt:i4>0</vt:i4>
      </vt:variant>
      <vt:variant>
        <vt:i4>5</vt:i4>
      </vt:variant>
      <vt:variant>
        <vt:lpwstr/>
      </vt:variant>
      <vt:variant>
        <vt:lpwstr>_Toc184817249</vt:lpwstr>
      </vt:variant>
      <vt:variant>
        <vt:i4>1310774</vt:i4>
      </vt:variant>
      <vt:variant>
        <vt:i4>29</vt:i4>
      </vt:variant>
      <vt:variant>
        <vt:i4>0</vt:i4>
      </vt:variant>
      <vt:variant>
        <vt:i4>5</vt:i4>
      </vt:variant>
      <vt:variant>
        <vt:lpwstr/>
      </vt:variant>
      <vt:variant>
        <vt:lpwstr>_Toc184817249</vt:lpwstr>
      </vt:variant>
      <vt:variant>
        <vt:i4>1310774</vt:i4>
      </vt:variant>
      <vt:variant>
        <vt:i4>26</vt:i4>
      </vt:variant>
      <vt:variant>
        <vt:i4>0</vt:i4>
      </vt:variant>
      <vt:variant>
        <vt:i4>5</vt:i4>
      </vt:variant>
      <vt:variant>
        <vt:lpwstr/>
      </vt:variant>
      <vt:variant>
        <vt:lpwstr>_Toc184817249</vt:lpwstr>
      </vt:variant>
      <vt:variant>
        <vt:i4>1310774</vt:i4>
      </vt:variant>
      <vt:variant>
        <vt:i4>20</vt:i4>
      </vt:variant>
      <vt:variant>
        <vt:i4>0</vt:i4>
      </vt:variant>
      <vt:variant>
        <vt:i4>5</vt:i4>
      </vt:variant>
      <vt:variant>
        <vt:lpwstr/>
      </vt:variant>
      <vt:variant>
        <vt:lpwstr>_Toc184817248</vt:lpwstr>
      </vt:variant>
      <vt:variant>
        <vt:i4>1310774</vt:i4>
      </vt:variant>
      <vt:variant>
        <vt:i4>14</vt:i4>
      </vt:variant>
      <vt:variant>
        <vt:i4>0</vt:i4>
      </vt:variant>
      <vt:variant>
        <vt:i4>5</vt:i4>
      </vt:variant>
      <vt:variant>
        <vt:lpwstr/>
      </vt:variant>
      <vt:variant>
        <vt:lpwstr>_Toc184817247</vt:lpwstr>
      </vt:variant>
      <vt:variant>
        <vt:i4>1310774</vt:i4>
      </vt:variant>
      <vt:variant>
        <vt:i4>8</vt:i4>
      </vt:variant>
      <vt:variant>
        <vt:i4>0</vt:i4>
      </vt:variant>
      <vt:variant>
        <vt:i4>5</vt:i4>
      </vt:variant>
      <vt:variant>
        <vt:lpwstr/>
      </vt:variant>
      <vt:variant>
        <vt:lpwstr>_Toc184817246</vt:lpwstr>
      </vt:variant>
      <vt:variant>
        <vt:i4>1310774</vt:i4>
      </vt:variant>
      <vt:variant>
        <vt:i4>2</vt:i4>
      </vt:variant>
      <vt:variant>
        <vt:i4>0</vt:i4>
      </vt:variant>
      <vt:variant>
        <vt:i4>5</vt:i4>
      </vt:variant>
      <vt:variant>
        <vt:lpwstr/>
      </vt:variant>
      <vt:variant>
        <vt:lpwstr>_Toc184817246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Investimentos</dc:title>
  <dc:subject>Exercício de 2010</dc:subject>
  <dc:creator>Amapá Previdência - AMPREV</dc:creator>
  <cp:lastModifiedBy>Carlos Roberto</cp:lastModifiedBy>
  <cp:revision>2</cp:revision>
  <cp:lastPrinted>2014-12-30T14:27:00Z</cp:lastPrinted>
  <dcterms:created xsi:type="dcterms:W3CDTF">2016-01-05T15:02:00Z</dcterms:created>
  <dcterms:modified xsi:type="dcterms:W3CDTF">2016-01-05T15:02:00Z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709564090</vt:i4>
  </property>
  <property fmtid="{D5CDD505-2E9C-101B-9397-08002B2CF9AE}" pid="3" name="_EmailSubject">
    <vt:lpwstr>MINUTA DE POLÍTICA DE INVESTIMENTO</vt:lpwstr>
  </property>
  <property fmtid="{D5CDD505-2E9C-101B-9397-08002B2CF9AE}" pid="4" name="_AuthorEmail">
    <vt:lpwstr>paula.lima@riskoffice.com.br</vt:lpwstr>
  </property>
  <property fmtid="{D5CDD505-2E9C-101B-9397-08002B2CF9AE}" pid="5" name="_AuthorEmailDisplayName">
    <vt:lpwstr>Paula Lima</vt:lpwstr>
  </property>
  <property fmtid="{D5CDD505-2E9C-101B-9397-08002B2CF9AE}" pid="6" name="_PreviousAdHocReviewCycleID">
    <vt:i4>2003941915</vt:i4>
  </property>
  <property fmtid="{D5CDD505-2E9C-101B-9397-08002B2CF9AE}" pid="7" name="_ReviewingToolsShownOnce">
    <vt:lpwstr/>
  </property>
</Properties>
</file>